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AA8B" w14:textId="304E6F04" w:rsidR="00000000" w:rsidRPr="008A2C0A" w:rsidRDefault="00000000" w:rsidP="008A2C0A">
      <w:pPr>
        <w:pStyle w:val="Heading1"/>
      </w:pPr>
      <w:r>
        <w:t>Rejoinder to Defendants’ Objections</w:t>
      </w:r>
    </w:p>
    <w:p w14:paraId="4C0B574F" w14:textId="77777777" w:rsidR="00000000" w:rsidRDefault="00000000" w:rsidP="008A2C0A">
      <w:pPr>
        <w:rPr>
          <w:rStyle w:val="Strong"/>
        </w:rPr>
      </w:pPr>
    </w:p>
    <w:p w14:paraId="668E61B9" w14:textId="2C797F09" w:rsidR="00000000" w:rsidRDefault="00000000" w:rsidP="008A2C0A">
      <w:r>
        <w:rPr>
          <w:rStyle w:val="Strong"/>
        </w:rPr>
        <w:t>Court:</w:t>
      </w:r>
      <w:r>
        <w:t xml:space="preserve"> </w:t>
      </w:r>
      <w:r>
        <w:tab/>
      </w:r>
      <w:r>
        <w:tab/>
        <w:t>Munsiff Court, Haripad</w:t>
      </w:r>
    </w:p>
    <w:p w14:paraId="7F47DE21" w14:textId="4C16119D" w:rsidR="00000000" w:rsidRDefault="00000000" w:rsidP="008A2C0A">
      <w:r>
        <w:rPr>
          <w:rStyle w:val="Strong"/>
        </w:rPr>
        <w:t>Suit:</w:t>
      </w:r>
      <w:r>
        <w:t xml:space="preserve"> </w:t>
      </w:r>
      <w:r>
        <w:tab/>
      </w:r>
      <w:r>
        <w:tab/>
      </w:r>
      <w:r>
        <w:tab/>
        <w:t>O.S. No. 214/2025</w:t>
      </w:r>
    </w:p>
    <w:p w14:paraId="032195B9" w14:textId="6FC74E5C" w:rsidR="00000000" w:rsidRDefault="00000000" w:rsidP="008A2C0A">
      <w:r>
        <w:rPr>
          <w:rStyle w:val="Strong"/>
        </w:rPr>
        <w:t>Applications:</w:t>
      </w:r>
      <w:r>
        <w:t xml:space="preserve"> </w:t>
      </w:r>
      <w:r>
        <w:tab/>
        <w:t>I.A. No. 5/2026 and I.A. No. 6/2026</w:t>
      </w:r>
    </w:p>
    <w:p w14:paraId="3A7985BE" w14:textId="11A02E53" w:rsidR="00000000" w:rsidRDefault="00000000" w:rsidP="008A2C0A">
      <w:r>
        <w:rPr>
          <w:rStyle w:val="Strong"/>
        </w:rPr>
        <w:t>Filed by:</w:t>
      </w:r>
      <w:r>
        <w:t xml:space="preserve"> </w:t>
      </w:r>
      <w:r>
        <w:tab/>
      </w:r>
      <w:r>
        <w:tab/>
        <w:t>Plaintiff / Petitioner through POA A.G. Kishore</w:t>
      </w:r>
    </w:p>
    <w:p w14:paraId="630C91F5" w14:textId="52997F6C" w:rsidR="00000000" w:rsidRDefault="00000000" w:rsidP="008A2C0A">
      <w:pPr>
        <w:ind w:left="2160" w:hanging="2160"/>
      </w:pPr>
      <w:r>
        <w:rPr>
          <w:rStyle w:val="Strong"/>
        </w:rPr>
        <w:t>Subject:</w:t>
      </w:r>
      <w:r>
        <w:tab/>
      </w:r>
      <w:r>
        <w:t>Defendants’ objections dated 19.06.2026 in I.A. No. 5/2026 and I.A. No. 6/2026.</w:t>
      </w:r>
    </w:p>
    <w:p w14:paraId="33DD53B2" w14:textId="77777777" w:rsidR="00000000" w:rsidRDefault="00000000" w:rsidP="008A2C0A">
      <w:pPr>
        <w:pStyle w:val="Heading2"/>
      </w:pPr>
    </w:p>
    <w:p w14:paraId="74483CDE" w14:textId="65BA3703" w:rsidR="00000000" w:rsidRDefault="00000000" w:rsidP="008A2C0A">
      <w:pPr>
        <w:pStyle w:val="Heading2"/>
      </w:pPr>
      <w:r>
        <w:t>Rejoinder to Objection in I.A. No. 5/2026</w:t>
      </w:r>
    </w:p>
    <w:p w14:paraId="1253FAD3" w14:textId="77777777" w:rsidR="00000000" w:rsidRDefault="00000000">
      <w:pPr>
        <w:pStyle w:val="ListNumber"/>
      </w:pPr>
      <w:r>
        <w:t>Save as expressly admitted below, every averment in the objection is denied.</w:t>
      </w:r>
    </w:p>
    <w:p w14:paraId="3ACA32F7" w14:textId="3090A4B2" w:rsidR="00000000" w:rsidRDefault="00000000">
      <w:pPr>
        <w:pStyle w:val="ListNumber"/>
      </w:pPr>
      <w:r>
        <w:t>Deed No. 3237/2025 leased the trust property on 27.10.2025</w:t>
      </w:r>
      <w:r w:rsidR="00F559B8">
        <w:t>. T</w:t>
      </w:r>
      <w:r>
        <w:t>his suit</w:t>
      </w:r>
      <w:r w:rsidR="00F559B8">
        <w:t xml:space="preserve"> was filed</w:t>
      </w:r>
      <w:r>
        <w:t xml:space="preserve"> on 12.06.2025. Under Section 52, TPA, 1882, the lessee takes subject to the decree (</w:t>
      </w:r>
      <w:r>
        <w:rPr>
          <w:i/>
          <w:iCs/>
        </w:rPr>
        <w:t>pendente lite nihil innovetur</w:t>
      </w:r>
      <w:r>
        <w:t>), bound whether impleaded or not — no necessary party, and non-joinder no bar (</w:t>
      </w:r>
      <w:r>
        <w:rPr>
          <w:i/>
          <w:iCs/>
        </w:rPr>
        <w:t>Thomson Press (India) Ltd. v. Nanak Builders</w:t>
      </w:r>
      <w:r>
        <w:t xml:space="preserve">, (2013) 5 SCC 397; </w:t>
      </w:r>
      <w:r>
        <w:rPr>
          <w:i/>
          <w:iCs/>
        </w:rPr>
        <w:t>Amit Kumar Shaw v. Farida Khatoon</w:t>
      </w:r>
      <w:r>
        <w:t xml:space="preserve">, (2005) 11 SCC 403; </w:t>
      </w:r>
      <w:r>
        <w:rPr>
          <w:i/>
          <w:iCs/>
        </w:rPr>
        <w:t>Sarvinder Singh v. Dalip Singh</w:t>
      </w:r>
      <w:r>
        <w:t xml:space="preserve">, (1996) 5 SCC 539). The relief is against the respondent-trustees, not any new </w:t>
      </w:r>
      <w:r>
        <w:rPr>
          <w:i/>
          <w:iCs/>
        </w:rPr>
        <w:t>pendente lite</w:t>
      </w:r>
      <w:r>
        <w:t xml:space="preserve"> claimant.</w:t>
      </w:r>
    </w:p>
    <w:p w14:paraId="7A11FE0D" w14:textId="2494CA4C" w:rsidR="00000000" w:rsidRDefault="00000000">
      <w:pPr>
        <w:pStyle w:val="ListNumber"/>
      </w:pPr>
      <w:r>
        <w:t xml:space="preserve">Misjoinder of respondents 5–7 or non-joinder of co-trustees cannot defeat </w:t>
      </w:r>
      <w:r w:rsidR="00F559B8">
        <w:t>IA5/2026</w:t>
      </w:r>
      <w:r>
        <w:t xml:space="preserve"> (Order I Rule 9 CPC).</w:t>
      </w:r>
    </w:p>
    <w:p w14:paraId="1F4C2E23" w14:textId="27D947EB" w:rsidR="00000000" w:rsidRDefault="00000000">
      <w:pPr>
        <w:pStyle w:val="ListNumber"/>
      </w:pPr>
      <w:r>
        <w:t xml:space="preserve">The Defendants cannot create a commercial </w:t>
      </w:r>
      <w:r>
        <w:rPr>
          <w:i/>
          <w:iCs/>
        </w:rPr>
        <w:t>fait accompli</w:t>
      </w:r>
      <w:r>
        <w:t xml:space="preserve"> during the suit and then claim it has begun</w:t>
      </w:r>
      <w:r w:rsidR="00F559B8">
        <w:t xml:space="preserve"> because it</w:t>
      </w:r>
      <w:r>
        <w:t xml:space="preserve"> rewards conduct Section 52 prohibits.</w:t>
      </w:r>
    </w:p>
    <w:p w14:paraId="4892C078" w14:textId="69CB2C77" w:rsidR="00000000" w:rsidRDefault="00000000">
      <w:pPr>
        <w:pStyle w:val="ListNumber"/>
      </w:pPr>
      <w:r>
        <w:t>The Defendants selectively rely on prayer (a) in IA 5/2026 while ignoring the independent prayer (b), which also seeks to restrain non-trust entities from the Trust property — central to the suit’s accountability objective.</w:t>
      </w:r>
    </w:p>
    <w:p w14:paraId="40EE8792" w14:textId="57BE12CB" w:rsidR="00000000" w:rsidRDefault="00000000">
      <w:pPr>
        <w:pStyle w:val="ListNumber"/>
      </w:pPr>
      <w:r>
        <w:t>The Defendants themselves call the property of “</w:t>
      </w:r>
      <w:r w:rsidRPr="00F559B8">
        <w:rPr>
          <w:rStyle w:val="Emphasis"/>
        </w:rPr>
        <w:t>legacy and heritage</w:t>
      </w:r>
      <w:r>
        <w:t xml:space="preserve">” character; its loss, and the loss of pre-venture accountability once public footfall begins, cannot be repaired in damages. The Alummoottil family has no legacy or heritage in Ayurvedic practice, and the conduct of the </w:t>
      </w:r>
      <w:r>
        <w:rPr>
          <w:i/>
          <w:iCs/>
        </w:rPr>
        <w:t>pendente lite</w:t>
      </w:r>
      <w:r>
        <w:t xml:space="preserve"> </w:t>
      </w:r>
      <w:r>
        <w:lastRenderedPageBreak/>
        <w:t>claimant is wholly uncharacteristic of that heritage. The balance of convenience thus lies with the Plaintiff.</w:t>
      </w:r>
    </w:p>
    <w:p w14:paraId="19D3CCED" w14:textId="51983836" w:rsidR="00000000" w:rsidRDefault="00000000">
      <w:pPr>
        <w:pStyle w:val="ListNumber"/>
      </w:pPr>
      <w:r>
        <w:t xml:space="preserve">The objection rests on Amendment Deed No. 38/IV/2026, called “valid, legal and binding” — yet never produced in Court till date. An undisclosed deed cannot </w:t>
      </w:r>
      <w:r w:rsidR="00F559B8">
        <w:t>grant rights</w:t>
      </w:r>
      <w:r>
        <w:t>; its suppression warrants an adverse inference.</w:t>
      </w:r>
    </w:p>
    <w:p w14:paraId="6D694E40" w14:textId="5D119172" w:rsidR="00000000" w:rsidRDefault="00000000">
      <w:pPr>
        <w:pStyle w:val="ListNumber"/>
      </w:pPr>
      <w:r>
        <w:t>The charge that the Plaintiff suppressed the lease is false</w:t>
      </w:r>
      <w:r w:rsidR="00F559B8">
        <w:t>. T</w:t>
      </w:r>
      <w:r>
        <w:t>he Defendants executed and concealed it, and on 16.02.2026 swore that “</w:t>
      </w:r>
      <w:r w:rsidRPr="00F559B8">
        <w:rPr>
          <w:i/>
          <w:iCs/>
        </w:rPr>
        <w:t>nothing material has been concealed</w:t>
      </w:r>
      <w:r>
        <w:t xml:space="preserve">” while concealing the lease and the commercialisation of the suit property, both then existing. That is </w:t>
      </w:r>
      <w:r>
        <w:rPr>
          <w:i/>
          <w:iCs/>
        </w:rPr>
        <w:t>suppressio veri, suggestio falsi</w:t>
      </w:r>
      <w:r>
        <w:t>, and fraud (</w:t>
      </w:r>
      <w:r>
        <w:rPr>
          <w:i/>
          <w:iCs/>
        </w:rPr>
        <w:t>S.P. Chengalvaraya Naidu v. Jagannath</w:t>
      </w:r>
      <w:r>
        <w:t>, (1994) 1 SCC 1); fraud vitiates every act founded upon it (</w:t>
      </w:r>
      <w:r>
        <w:rPr>
          <w:i/>
          <w:iCs/>
        </w:rPr>
        <w:t>A.V. Papayya Sastry v. Govt. of A.P.</w:t>
      </w:r>
      <w:r>
        <w:t xml:space="preserve">, (2007) 4 SCC 221). A concealer </w:t>
      </w:r>
      <w:r w:rsidR="00F559B8">
        <w:t xml:space="preserve">cannot claim </w:t>
      </w:r>
      <w:r>
        <w:t>clean hands or balance of convenience.</w:t>
      </w:r>
    </w:p>
    <w:p w14:paraId="561FFC8F" w14:textId="45FA458B" w:rsidR="00000000" w:rsidRDefault="00000000">
      <w:pPr>
        <w:pStyle w:val="ListNumber"/>
      </w:pPr>
      <w:r>
        <w:t xml:space="preserve">By the Defendants’ own affidavit dated 18.05.2026, the lease was registered through the “Marad” Sub-Registrar’s Office — described there as “Marad, Alappuzha,” though </w:t>
      </w:r>
      <w:r w:rsidR="00F559B8">
        <w:t xml:space="preserve">SRO </w:t>
      </w:r>
      <w:proofErr w:type="spellStart"/>
      <w:r w:rsidR="00F559B8">
        <w:t>Maradu</w:t>
      </w:r>
      <w:proofErr w:type="spellEnd"/>
      <w:r>
        <w:t xml:space="preserve"> lies in Ernakulam, while the trust property and every trust deed lie within the sub-district of Cheppad, Alappuzha. Under Section 28 of the Registration Act, 1908, a document affecting immovable property must be registered where the property lies; </w:t>
      </w:r>
      <w:r>
        <w:t>a lease registered outside that jurisdiction, and misdescribed to this Court as to district, cannot found the Defendants’ plea of balance of convenience.</w:t>
      </w:r>
    </w:p>
    <w:p w14:paraId="28644EDD" w14:textId="77777777" w:rsidR="00F559B8" w:rsidRDefault="00F559B8">
      <w:pPr>
        <w:pStyle w:val="Heading2"/>
      </w:pPr>
    </w:p>
    <w:p w14:paraId="7BEBE941" w14:textId="2D4AC495" w:rsidR="00000000" w:rsidRDefault="00000000">
      <w:pPr>
        <w:pStyle w:val="Heading2"/>
      </w:pPr>
      <w:r>
        <w:t>Rejoinder to Objection in I.A. No. 6/2026</w:t>
      </w:r>
    </w:p>
    <w:p w14:paraId="24605422" w14:textId="77777777" w:rsidR="00000000" w:rsidRDefault="00000000">
      <w:pPr>
        <w:pStyle w:val="ListNumber"/>
        <w:numPr>
          <w:ilvl w:val="0"/>
          <w:numId w:val="4"/>
        </w:numPr>
      </w:pPr>
      <w:r>
        <w:t>Save as expressly admitted, every averment is denied.</w:t>
      </w:r>
    </w:p>
    <w:p w14:paraId="1E885706" w14:textId="1B891996" w:rsidR="00000000" w:rsidRDefault="00000000">
      <w:pPr>
        <w:pStyle w:val="ListNumber"/>
        <w:numPr>
          <w:ilvl w:val="0"/>
          <w:numId w:val="4"/>
        </w:numPr>
      </w:pPr>
      <w:r>
        <w:t>The 04.03.2026 closure of IA No. 5/2025 rested “</w:t>
      </w:r>
      <w:r w:rsidRPr="00F559B8">
        <w:rPr>
          <w:rStyle w:val="Emphasis"/>
        </w:rPr>
        <w:t>in light of the affidavit</w:t>
      </w:r>
      <w:r>
        <w:t>,” not on merits; an affidavit since shown false</w:t>
      </w:r>
      <w:r w:rsidR="00F559B8">
        <w:t>,</w:t>
      </w:r>
      <w:r>
        <w:t xml:space="preserve"> binds no one (</w:t>
      </w:r>
      <w:r>
        <w:rPr>
          <w:i/>
          <w:iCs/>
        </w:rPr>
        <w:t>S.P. Chengalvaraya Naidu v. Jagannath</w:t>
      </w:r>
      <w:r>
        <w:t>, (1994) 1 SCC 1). This application under Order XI Rules 12 &amp; 14 CPC is barred by neither Section 11 nor Order II Rule 2 CPC.</w:t>
      </w:r>
    </w:p>
    <w:p w14:paraId="6F7F3D45" w14:textId="77777777" w:rsidR="00000000" w:rsidRDefault="00000000">
      <w:pPr>
        <w:pStyle w:val="ListNumber"/>
        <w:numPr>
          <w:ilvl w:val="0"/>
          <w:numId w:val="4"/>
        </w:numPr>
      </w:pPr>
      <w:r>
        <w:t>Whether the Plaintiff is a beneficiary is the suit’s central issue, not to be decided at the interlocutory stage.</w:t>
      </w:r>
    </w:p>
    <w:p w14:paraId="7F5E73D4" w14:textId="6F5F0EA7" w:rsidR="00000000" w:rsidRDefault="00000000">
      <w:pPr>
        <w:pStyle w:val="ListNumber"/>
        <w:numPr>
          <w:ilvl w:val="0"/>
          <w:numId w:val="4"/>
        </w:numPr>
      </w:pPr>
      <w:r>
        <w:t>The Defendants blow hot and cold — sworn on 16.02.2026 that no accounts existed, then producing the very same documents before this Court on 18.05.2026. A party cannot approbate and reprobate (</w:t>
      </w:r>
      <w:r>
        <w:rPr>
          <w:i/>
          <w:iCs/>
        </w:rPr>
        <w:t xml:space="preserve">Nagubai Ammal v. B. </w:t>
      </w:r>
      <w:r>
        <w:rPr>
          <w:i/>
          <w:iCs/>
        </w:rPr>
        <w:lastRenderedPageBreak/>
        <w:t>Shama Rao</w:t>
      </w:r>
      <w:r>
        <w:t>, AIR 1956 SC 593).</w:t>
      </w:r>
    </w:p>
    <w:p w14:paraId="658E7E48" w14:textId="476FC358" w:rsidR="00000000" w:rsidRDefault="00000000">
      <w:pPr>
        <w:pStyle w:val="ListNumber"/>
        <w:numPr>
          <w:ilvl w:val="0"/>
          <w:numId w:val="4"/>
        </w:numPr>
      </w:pPr>
      <w:r>
        <w:t xml:space="preserve">Their shifting stand shows trust records exist. Per IA 6/2026, they must now produce </w:t>
      </w:r>
      <w:r w:rsidR="00F559B8">
        <w:t>all records</w:t>
      </w:r>
      <w:r>
        <w:t xml:space="preserve"> on oath; failing which, state on oath, document- and year-wise, whether each record was never created, destroyed, or lost. A trustee cannot plead his own default (</w:t>
      </w:r>
      <w:r>
        <w:rPr>
          <w:i/>
          <w:iCs/>
        </w:rPr>
        <w:t>Mrutunjay Pani v. Narmada Bala Sasmal</w:t>
      </w:r>
      <w:r>
        <w:t>, AIR 1961 SC 1353).</w:t>
      </w:r>
    </w:p>
    <w:p w14:paraId="268F6A26" w14:textId="77777777" w:rsidR="00000000" w:rsidRDefault="00000000">
      <w:pPr>
        <w:pStyle w:val="ListNumber"/>
        <w:numPr>
          <w:ilvl w:val="0"/>
          <w:numId w:val="4"/>
        </w:numPr>
      </w:pPr>
      <w:r>
        <w:t>A trustee withholding accounts within his control invites adverse inference (</w:t>
      </w:r>
      <w:r>
        <w:rPr>
          <w:i/>
          <w:iCs/>
        </w:rPr>
        <w:t>Gopal Krishnaji Ketkar v. Mohamed Haji Latif</w:t>
      </w:r>
      <w:r>
        <w:t>, AIR 1968 SC 1413).</w:t>
      </w:r>
    </w:p>
    <w:p w14:paraId="66E7ED0C" w14:textId="6854FD30" w:rsidR="00000000" w:rsidRDefault="00000000">
      <w:pPr>
        <w:pStyle w:val="ListNumber"/>
        <w:numPr>
          <w:ilvl w:val="0"/>
          <w:numId w:val="4"/>
        </w:numPr>
      </w:pPr>
      <w:r>
        <w:t xml:space="preserve">Para 5 admits Defendant 3 used personal funds to renovate Trust property but did not submit the expenditure statement. Deed No. 2/IV/2007 binds the Managing Trustee (Defendant 2) to hold “immediate control of the entire properties” and to “maintain all records and accounts.” </w:t>
      </w:r>
      <w:r w:rsidR="00F559B8">
        <w:t xml:space="preserve"> T</w:t>
      </w:r>
      <w:r>
        <w:t>he failure to render is</w:t>
      </w:r>
      <w:r w:rsidR="00F559B8">
        <w:t xml:space="preserve"> thus</w:t>
      </w:r>
      <w:r>
        <w:t xml:space="preserve"> the Managing Trustee’s </w:t>
      </w:r>
      <w:r w:rsidR="00F559B8">
        <w:t>personal</w:t>
      </w:r>
      <w:r>
        <w:t xml:space="preserve"> breach.</w:t>
      </w:r>
    </w:p>
    <w:p w14:paraId="3EF8EBE0" w14:textId="1F883025" w:rsidR="00374C44" w:rsidRDefault="00374C44">
      <w:pPr>
        <w:pStyle w:val="ListNumber"/>
        <w:numPr>
          <w:ilvl w:val="0"/>
          <w:numId w:val="4"/>
        </w:numPr>
      </w:pPr>
      <w:r>
        <w:t>W</w:t>
      </w:r>
      <w:r w:rsidRPr="00374C44">
        <w:t>ithin FY 2007–2024: two Trust-Deed amendments (66/IV/2022 and 17/IV/2024) on Rs. 1,000 stamp paper each; a Board reconstituted by nomination "at the said meeting held on 22/12/2023"; the Meda inaugurated on 23/12/2023 before some 150 guests; and their own O.S. 243/2024, pleading on oath that construction proceeded "at the instance of plaintiff trust" by "employees deployed by the plaintiff trust." Such activity necessarily generated stamp, land-tax, utility, contractor and GST records. A Trust that does all this is no "dormant entity</w:t>
      </w:r>
      <w:r>
        <w:t>”.</w:t>
      </w:r>
    </w:p>
    <w:p w14:paraId="6A7DDCDE" w14:textId="77777777" w:rsidR="00000000" w:rsidRDefault="00000000">
      <w:pPr>
        <w:pStyle w:val="ListNumber"/>
        <w:numPr>
          <w:ilvl w:val="0"/>
          <w:numId w:val="4"/>
        </w:numPr>
      </w:pPr>
      <w:r>
        <w:t>For the above reasons, the objections dated 19.06.2026 are denied and answered accordingly.</w:t>
      </w:r>
    </w:p>
    <w:p w14:paraId="798F25FC" w14:textId="77777777" w:rsidR="00000000" w:rsidRDefault="00000000">
      <w:r>
        <w:t>Verified at __________ on this ____ day of __________ 2026 that the contents above are true to the best of the deponent’s knowledge, information and belief, derived from court records, documents produced in the proceedings, instructions received from the Plaintiff, and legal advice received and believed to be true.</w:t>
      </w:r>
    </w:p>
    <w:p w14:paraId="03B11FA0" w14:textId="77777777" w:rsidR="00000000" w:rsidRDefault="00000000">
      <w:pPr>
        <w:pStyle w:val="NoGap"/>
      </w:pPr>
      <w:r>
        <w:t>Deponent</w:t>
      </w:r>
    </w:p>
    <w:p w14:paraId="5BA4304C" w14:textId="77777777" w:rsidR="00000000" w:rsidRDefault="00000000">
      <w:pPr>
        <w:pStyle w:val="NoGap"/>
      </w:pPr>
    </w:p>
    <w:p w14:paraId="44C98EE1" w14:textId="77777777" w:rsidR="00374C44" w:rsidRDefault="00374C44">
      <w:pPr>
        <w:pStyle w:val="NoGap"/>
      </w:pPr>
    </w:p>
    <w:p w14:paraId="0A02E78B" w14:textId="77777777" w:rsidR="00000000" w:rsidRDefault="00000000">
      <w:pPr>
        <w:pStyle w:val="NoGap"/>
      </w:pPr>
    </w:p>
    <w:p w14:paraId="3D16DFF8" w14:textId="44DDBF5B" w:rsidR="00000000" w:rsidRDefault="00000000">
      <w:pPr>
        <w:pStyle w:val="NoGap"/>
      </w:pPr>
      <w:r>
        <w:t>A.G. Kishore</w:t>
      </w:r>
    </w:p>
    <w:p w14:paraId="319AF254" w14:textId="77777777" w:rsidR="00000000" w:rsidRDefault="00000000">
      <w:pPr>
        <w:pStyle w:val="NoGap"/>
      </w:pPr>
      <w:r>
        <w:t>POA of the Plaintiff</w:t>
      </w:r>
    </w:p>
    <w:sectPr w:rsidR="00466ADC" w:rsidSect="00CA5FD0">
      <w:footerReference w:type="even" r:id="rId7"/>
      <w:footerReference w:type="default" r:id="rId8"/>
      <w:footerReference w:type="first" r:id="rId9"/>
      <w:pgSz w:w="11906" w:h="16838"/>
      <w:pgMar w:top="1440" w:right="1440" w:bottom="1440" w:left="2160" w:header="0" w:footer="720" w:gutter="0"/>
      <w:pgNumType w:fmt="numberInDash"/>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8599A" w14:textId="77777777" w:rsidR="00972856" w:rsidRDefault="00972856" w:rsidP="00494E42">
      <w:r>
        <w:separator/>
      </w:r>
    </w:p>
  </w:endnote>
  <w:endnote w:type="continuationSeparator" w:id="0">
    <w:p w14:paraId="27D827D9" w14:textId="77777777" w:rsidR="00972856" w:rsidRDefault="00972856" w:rsidP="00494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NEUE CONDENSED">
    <w:panose1 w:val="02000806000000020004"/>
    <w:charset w:val="00"/>
    <w:family w:val="auto"/>
    <w:pitch w:val="variable"/>
    <w:sig w:usb0="A00002FF" w:usb1="5000205A"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3247E038" w14:textId="77777777" w:rsidR="000B6AC5" w:rsidRDefault="00000000" w:rsidP="00494E4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0A7190D9" w14:textId="77777777" w:rsidR="000B6AC5" w:rsidRDefault="000B6AC5" w:rsidP="00494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2DEDD23D" w14:textId="77777777" w:rsidR="000B6AC5" w:rsidRDefault="00000000" w:rsidP="00494E42">
        <w:pPr>
          <w:pStyle w:val="Footer"/>
          <w:rPr>
            <w:rStyle w:val="PageNumber"/>
          </w:rPr>
        </w:pPr>
        <w:r>
          <w:fldChar w:fldCharType="begin"/>
        </w:r>
        <w:r>
          <w:instrText xml:space="preserve"> PAGE </w:instrText>
        </w:r>
        <w:r>
          <w:fldChar w:fldCharType="separate"/>
        </w:r>
        <w:r>
          <w:t>2</w:t>
        </w:r>
        <w:r>
          <w:fldChar w:fldCharType="end"/>
        </w:r>
      </w:p>
    </w:sdtContent>
  </w:sdt>
  <w:p w14:paraId="17A7466E" w14:textId="77777777" w:rsidR="000B6AC5" w:rsidRDefault="000B6AC5" w:rsidP="00494E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148D652C" w14:textId="77777777" w:rsidR="000B6AC5" w:rsidRDefault="00000000" w:rsidP="00494E42">
        <w:pPr>
          <w:pStyle w:val="Footer"/>
          <w:rPr>
            <w:rStyle w:val="PageNumber"/>
          </w:rPr>
        </w:pPr>
        <w:r>
          <w:fldChar w:fldCharType="begin"/>
        </w:r>
        <w:r>
          <w:instrText xml:space="preserve"> PAGE </w:instrText>
        </w:r>
        <w:r>
          <w:fldChar w:fldCharType="separate"/>
        </w:r>
        <w:r>
          <w:t>2</w:t>
        </w:r>
        <w:r>
          <w:fldChar w:fldCharType="end"/>
        </w:r>
      </w:p>
    </w:sdtContent>
  </w:sdt>
  <w:p w14:paraId="0F6F0F58" w14:textId="77777777" w:rsidR="000B6AC5" w:rsidRDefault="000B6AC5" w:rsidP="00494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7048A" w14:textId="77777777" w:rsidR="00972856" w:rsidRDefault="00972856" w:rsidP="00494E42">
      <w:r>
        <w:separator/>
      </w:r>
    </w:p>
  </w:footnote>
  <w:footnote w:type="continuationSeparator" w:id="0">
    <w:p w14:paraId="61E00AA9" w14:textId="77777777" w:rsidR="00972856" w:rsidRDefault="00972856" w:rsidP="00494E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D01"/>
    <w:multiLevelType w:val="multilevel"/>
    <w:tmpl w:val="B5BEAFD4"/>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1" w15:restartNumberingAfterBreak="0">
    <w:nsid w:val="16BC6310"/>
    <w:multiLevelType w:val="multilevel"/>
    <w:tmpl w:val="5DBC519E"/>
    <w:lvl w:ilvl="0">
      <w:start w:val="1"/>
      <w:numFmt w:val="bullet"/>
      <w:pStyle w:val="Bulleting"/>
      <w:lvlText w:val="o"/>
      <w:lvlJc w:val="left"/>
      <w:pPr>
        <w:tabs>
          <w:tab w:val="num" w:pos="0"/>
        </w:tabs>
        <w:ind w:left="720" w:hanging="360"/>
      </w:pPr>
      <w:rPr>
        <w:rFonts w:ascii="Courier New" w:hAnsi="Courier New" w:cs="Courier New" w:hint="default"/>
        <w:sz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E6C1C46"/>
    <w:multiLevelType w:val="hybridMultilevel"/>
    <w:tmpl w:val="4BA466C8"/>
    <w:lvl w:ilvl="0" w:tplc="993862CA">
      <w:start w:val="1"/>
      <w:numFmt w:val="lowerLetter"/>
      <w:pStyle w:val="Lettered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521479"/>
    <w:multiLevelType w:val="multilevel"/>
    <w:tmpl w:val="7C1C9B92"/>
    <w:lvl w:ilvl="0">
      <w:start w:val="1"/>
      <w:numFmt w:val="decimal"/>
      <w:lvlText w:val="%1)"/>
      <w:lvlJc w:val="left"/>
      <w:pPr>
        <w:tabs>
          <w:tab w:val="num" w:pos="0"/>
        </w:tabs>
        <w:ind w:left="547" w:hanging="547"/>
      </w:pPr>
    </w:lvl>
    <w:lvl w:ilvl="1">
      <w:start w:val="1"/>
      <w:numFmt w:val="upp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lowerLetter"/>
      <w:lvlText w:val="%4)"/>
      <w:lvlJc w:val="left"/>
      <w:pPr>
        <w:tabs>
          <w:tab w:val="num" w:pos="0"/>
        </w:tabs>
        <w:ind w:left="1440" w:hanging="36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32C615D0"/>
    <w:multiLevelType w:val="multilevel"/>
    <w:tmpl w:val="B5BEAFD4"/>
    <w:lvl w:ilvl="0">
      <w:start w:val="1"/>
      <w:numFmt w:val="decimal"/>
      <w:pStyle w:val="ListNumber"/>
      <w:lvlText w:val="%1)"/>
      <w:lvlJc w:val="left"/>
      <w:pPr>
        <w:ind w:left="360" w:hanging="360"/>
      </w:pPr>
    </w:lvl>
    <w:lvl w:ilvl="1">
      <w:start w:val="1"/>
      <w:numFmt w:val="decimal"/>
      <w:pStyle w:val="ListNumber2"/>
      <w:lvlText w:val="%1.%2)"/>
      <w:lvlJc w:val="left"/>
      <w:pPr>
        <w:ind w:left="720" w:hanging="360"/>
      </w:pPr>
    </w:lvl>
    <w:lvl w:ilvl="2">
      <w:start w:val="1"/>
      <w:numFmt w:val="decimal"/>
      <w:pStyle w:val="ListNumber3"/>
      <w:lvlText w:val="%1.%2.%3)"/>
      <w:lvlJc w:val="left"/>
      <w:pPr>
        <w:ind w:left="1080" w:hanging="360"/>
      </w:pPr>
    </w:lvl>
    <w:lvl w:ilvl="3">
      <w:start w:val="1"/>
      <w:numFmt w:val="decimal"/>
      <w:pStyle w:val="ListNumber4"/>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5" w15:restartNumberingAfterBreak="0">
    <w:nsid w:val="35F81891"/>
    <w:multiLevelType w:val="multilevel"/>
    <w:tmpl w:val="30E2A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1B318C4"/>
    <w:multiLevelType w:val="hybridMultilevel"/>
    <w:tmpl w:val="9626C0D6"/>
    <w:lvl w:ilvl="0" w:tplc="5478D4BC">
      <w:start w:val="1"/>
      <w:numFmt w:val="lowerRoman"/>
      <w:pStyle w:val="RomanList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90544">
    <w:abstractNumId w:val="1"/>
  </w:num>
  <w:num w:numId="2" w16cid:durableId="1776898736">
    <w:abstractNumId w:val="3"/>
  </w:num>
  <w:num w:numId="3" w16cid:durableId="223951550">
    <w:abstractNumId w:val="5"/>
  </w:num>
  <w:num w:numId="4" w16cid:durableId="601883165">
    <w:abstractNumId w:val="0"/>
    <w:lvlOverride w:ilvl="0">
      <w:startOverride w:val="1"/>
    </w:lvlOverride>
  </w:num>
  <w:num w:numId="5" w16cid:durableId="1359818873">
    <w:abstractNumId w:val="4"/>
  </w:num>
  <w:num w:numId="6" w16cid:durableId="1412655412">
    <w:abstractNumId w:val="2"/>
  </w:num>
  <w:num w:numId="7" w16cid:durableId="1337150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0C"/>
    <w:rsid w:val="000966F6"/>
    <w:rsid w:val="000A7D64"/>
    <w:rsid w:val="000B6AC5"/>
    <w:rsid w:val="00374C44"/>
    <w:rsid w:val="00494E42"/>
    <w:rsid w:val="007A766F"/>
    <w:rsid w:val="00972856"/>
    <w:rsid w:val="00A64CE1"/>
    <w:rsid w:val="00CA5FD0"/>
    <w:rsid w:val="00D0530C"/>
    <w:rsid w:val="00D92019"/>
    <w:rsid w:val="00DF70EF"/>
    <w:rsid w:val="00F1143F"/>
    <w:rsid w:val="00F559B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197E605"/>
  <w15:docId w15:val="{D666F2E7-ED1E-AD44-B668-1C99FDF2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494E42"/>
    <w:pPr>
      <w:snapToGrid w:val="0"/>
      <w:spacing w:after="180" w:line="276" w:lineRule="auto"/>
      <w:jc w:val="both"/>
    </w:pPr>
    <w:rPr>
      <w:rFonts w:ascii="Cambria" w:hAnsi="Cambria"/>
      <w:spacing w:val="-14"/>
      <w:sz w:val="28"/>
      <w:szCs w:val="28"/>
    </w:rPr>
  </w:style>
  <w:style w:type="paragraph" w:styleId="Heading1">
    <w:name w:val="heading 1"/>
    <w:basedOn w:val="Heading2"/>
    <w:uiPriority w:val="1"/>
    <w:qFormat/>
    <w:rsid w:val="00494E42"/>
    <w:pPr>
      <w:outlineLvl w:val="0"/>
    </w:pPr>
    <w:rPr>
      <w:sz w:val="48"/>
      <w:szCs w:val="48"/>
    </w:rPr>
  </w:style>
  <w:style w:type="paragraph" w:styleId="Heading2">
    <w:name w:val="heading 2"/>
    <w:basedOn w:val="Heading3"/>
    <w:uiPriority w:val="2"/>
    <w:qFormat/>
    <w:rsid w:val="00494E42"/>
    <w:pPr>
      <w:outlineLvl w:val="1"/>
    </w:pPr>
    <w:rPr>
      <w:b w:val="0"/>
      <w:bCs w:val="0"/>
      <w:sz w:val="40"/>
      <w:szCs w:val="40"/>
    </w:rPr>
  </w:style>
  <w:style w:type="paragraph" w:styleId="Heading3">
    <w:name w:val="heading 3"/>
    <w:basedOn w:val="Normal"/>
    <w:uiPriority w:val="3"/>
    <w:qFormat/>
    <w:rsid w:val="00494E42"/>
    <w:pPr>
      <w:spacing w:line="240" w:lineRule="auto"/>
      <w:jc w:val="center"/>
      <w:outlineLvl w:val="2"/>
    </w:pPr>
    <w:rPr>
      <w:rFonts w:ascii="HELVETICA NEUE CONDENSED" w:hAnsi="HELVETICA NEUE CONDENSED"/>
      <w:b/>
      <w:bCs/>
      <w:caps/>
      <w:color w:val="000000" w:themeColor="text1"/>
      <w:sz w:val="32"/>
      <w:szCs w:val="32"/>
    </w:rPr>
  </w:style>
  <w:style w:type="paragraph" w:styleId="Heading4">
    <w:name w:val="heading 4"/>
    <w:basedOn w:val="Heading3"/>
    <w:uiPriority w:val="4"/>
    <w:qFormat/>
    <w:rsid w:val="00494E42"/>
    <w:pPr>
      <w:jc w:val="lef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Gap">
    <w:name w:val="No Gap"/>
    <w:basedOn w:val="Normal"/>
    <w:uiPriority w:val="13"/>
    <w:qFormat/>
    <w:rsid w:val="00494E42"/>
    <w:pPr>
      <w:spacing w:after="0" w:line="240" w:lineRule="auto"/>
    </w:pPr>
  </w:style>
  <w:style w:type="paragraph" w:customStyle="1" w:styleId="Bulleting">
    <w:name w:val="Bulleting"/>
    <w:basedOn w:val="Normal"/>
    <w:uiPriority w:val="12"/>
    <w:qFormat/>
    <w:rsid w:val="00494E42"/>
    <w:pPr>
      <w:numPr>
        <w:numId w:val="1"/>
      </w:numPr>
      <w:tabs>
        <w:tab w:val="clear" w:pos="0"/>
      </w:tabs>
      <w:ind w:left="540" w:hanging="540"/>
    </w:pPr>
  </w:style>
  <w:style w:type="paragraph" w:styleId="ListNumber">
    <w:name w:val="List Number"/>
    <w:basedOn w:val="Normal"/>
    <w:uiPriority w:val="6"/>
    <w:qFormat/>
    <w:rsid w:val="007A766F"/>
    <w:pPr>
      <w:numPr>
        <w:numId w:val="5"/>
      </w:numPr>
    </w:pPr>
  </w:style>
  <w:style w:type="paragraph" w:styleId="ListNumber2">
    <w:name w:val="List Number 2"/>
    <w:basedOn w:val="Normal"/>
    <w:uiPriority w:val="7"/>
    <w:qFormat/>
    <w:rsid w:val="00D0530C"/>
    <w:pPr>
      <w:numPr>
        <w:ilvl w:val="1"/>
        <w:numId w:val="5"/>
      </w:numPr>
      <w:ind w:left="900" w:hanging="540"/>
    </w:pPr>
  </w:style>
  <w:style w:type="paragraph" w:styleId="ListNumber3">
    <w:name w:val="List Number 3"/>
    <w:basedOn w:val="Normal"/>
    <w:uiPriority w:val="8"/>
    <w:qFormat/>
    <w:rsid w:val="00D0530C"/>
    <w:pPr>
      <w:numPr>
        <w:ilvl w:val="2"/>
        <w:numId w:val="5"/>
      </w:numPr>
      <w:ind w:left="1620" w:hanging="720"/>
    </w:pPr>
  </w:style>
  <w:style w:type="paragraph" w:styleId="ListNumber4">
    <w:name w:val="List Number 4"/>
    <w:basedOn w:val="Normal"/>
    <w:uiPriority w:val="9"/>
    <w:qFormat/>
    <w:rsid w:val="00D0530C"/>
    <w:pPr>
      <w:numPr>
        <w:ilvl w:val="3"/>
        <w:numId w:val="5"/>
      </w:numPr>
      <w:ind w:left="2520" w:hanging="900"/>
    </w:pPr>
  </w:style>
  <w:style w:type="paragraph" w:customStyle="1" w:styleId="LetteredListNumber">
    <w:name w:val="Lettered List Number"/>
    <w:basedOn w:val="ListNumber"/>
    <w:uiPriority w:val="10"/>
    <w:qFormat/>
    <w:rsid w:val="007A766F"/>
    <w:pPr>
      <w:numPr>
        <w:numId w:val="6"/>
      </w:numPr>
      <w:ind w:left="360"/>
    </w:pPr>
  </w:style>
  <w:style w:type="paragraph" w:customStyle="1" w:styleId="RomanListNumber">
    <w:name w:val="Roman List Number"/>
    <w:basedOn w:val="LetteredListNumber"/>
    <w:uiPriority w:val="11"/>
    <w:qFormat/>
    <w:rsid w:val="000A7D64"/>
    <w:pPr>
      <w:numPr>
        <w:numId w:val="7"/>
      </w:numPr>
      <w:ind w:left="360"/>
    </w:pPr>
  </w:style>
  <w:style w:type="paragraph" w:customStyle="1" w:styleId="Table">
    <w:name w:val="Table"/>
    <w:basedOn w:val="NoGap"/>
    <w:uiPriority w:val="14"/>
    <w:qFormat/>
    <w:rsid w:val="000966F6"/>
    <w:pPr>
      <w:jc w:val="left"/>
    </w:pPr>
  </w:style>
  <w:style w:type="paragraph" w:styleId="Footer">
    <w:name w:val="footer"/>
    <w:basedOn w:val="Normal"/>
    <w:link w:val="FooterChar"/>
    <w:uiPriority w:val="15"/>
    <w:unhideWhenUsed/>
    <w:rsid w:val="008A5BE7"/>
    <w:pPr>
      <w:tabs>
        <w:tab w:val="center" w:pos="4680"/>
        <w:tab w:val="right" w:pos="9360"/>
      </w:tabs>
      <w:spacing w:after="0" w:line="240" w:lineRule="auto"/>
      <w:jc w:val="center"/>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character" w:styleId="Strong">
    <w:name w:val="Strong"/>
    <w:basedOn w:val="DefaultParagraphFont"/>
    <w:uiPriority w:val="17"/>
    <w:qFormat/>
    <w:rsid w:val="002F3658"/>
    <w:rPr>
      <w:b/>
      <w:bCs/>
    </w:rPr>
  </w:style>
  <w:style w:type="character" w:styleId="Emphasis">
    <w:name w:val="Emphasis"/>
    <w:basedOn w:val="DefaultParagraphFont"/>
    <w:uiPriority w:val="16"/>
    <w:qFormat/>
    <w:rsid w:val="002F3658"/>
    <w:rPr>
      <w:i/>
      <w:iCs/>
    </w:rPr>
  </w:style>
  <w:style w:type="character" w:customStyle="1" w:styleId="FooterChar">
    <w:name w:val="Footer Char"/>
    <w:basedOn w:val="DefaultParagraphFont"/>
    <w:link w:val="Footer"/>
    <w:uiPriority w:val="99"/>
    <w:qFormat/>
    <w:rsid w:val="008A5BE7"/>
    <w:rPr>
      <w:rFonts w:ascii="Cambria" w:hAnsi="Cambria"/>
      <w:spacing w:val="-14"/>
      <w:sz w:val="26"/>
    </w:rPr>
  </w:style>
  <w:style w:type="character" w:styleId="PageNumber">
    <w:name w:val="page number"/>
    <w:basedOn w:val="DefaultParagraphFont"/>
    <w:uiPriority w:val="99"/>
    <w:semiHidden/>
    <w:unhideWhenUsed/>
    <w:rsid w:val="00ED3635"/>
  </w:style>
  <w:style w:type="character" w:customStyle="1" w:styleId="FootnoteCharacters">
    <w:name w:val="Footnote Characters"/>
    <w:uiPriority w:val="99"/>
    <w:semiHidden/>
    <w:unhideWhenUsed/>
    <w:qFormat/>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uiPriority w:val="39"/>
    <w:rsid w:val="00B3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qFormat/>
    <w:rsid w:val="00361621"/>
  </w:style>
  <w:style w:type="numbering" w:customStyle="1" w:styleId="CurrentList2">
    <w:name w:val="Current List2"/>
    <w:uiPriority w:val="99"/>
    <w:qFormat/>
    <w:rsid w:val="00361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oopmadhavan/Downloads/template1-3.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template1-3.dotx</Template>
  <TotalTime>13</TotalTime>
  <Pages>3</Pages>
  <Words>854</Words>
  <Characters>4870</Characters>
  <Application>Microsoft Office Word</Application>
  <DocSecurity>0</DocSecurity>
  <Lines>152</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dc:description/>
  <cp:lastModifiedBy>Anoop Madhavan</cp:lastModifiedBy>
  <cp:revision>2</cp:revision>
  <dcterms:created xsi:type="dcterms:W3CDTF">2026-06-22T20:10:00Z</dcterms:created>
  <dcterms:modified xsi:type="dcterms:W3CDTF">2026-06-22T20:55:00Z</dcterms:modified>
  <dc:language>en-US</dc:language>
</cp:coreProperties>
</file>