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4747" w14:textId="77777777" w:rsidR="00CF223A" w:rsidRDefault="00000000">
      <w:pPr>
        <w:pStyle w:val="Heading2"/>
      </w:pPr>
      <w:r>
        <w:t>BEFORE THE HONOURABLE MUNSIFF COURT, HARIPAD</w:t>
      </w:r>
    </w:p>
    <w:p w14:paraId="35CA5D50" w14:textId="77777777" w:rsidR="00CF223A" w:rsidRDefault="00000000">
      <w:pPr>
        <w:pStyle w:val="Heading3"/>
      </w:pPr>
      <w:r>
        <w:t>O.S. No. 214 of 2025 I.A. 5/2026</w:t>
      </w:r>
    </w:p>
    <w:p w14:paraId="053C5294" w14:textId="77777777" w:rsidR="005509EA" w:rsidRDefault="005509EA">
      <w:pPr>
        <w:pStyle w:val="Heading3"/>
      </w:pPr>
    </w:p>
    <w:tbl>
      <w:tblPr>
        <w:tblStyle w:val="TableGrid"/>
        <w:tblW w:w="8838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5058"/>
        <w:gridCol w:w="1260"/>
        <w:gridCol w:w="2520"/>
      </w:tblGrid>
      <w:tr w:rsidR="00CF223A" w:rsidRPr="008152C2" w14:paraId="285AFACD" w14:textId="77777777" w:rsidTr="008152C2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2F6A9CD5" w14:textId="77777777" w:rsidR="00CF223A" w:rsidRPr="008152C2" w:rsidRDefault="00000000">
            <w:pPr>
              <w:pStyle w:val="Table"/>
              <w:rPr>
                <w:sz w:val="32"/>
                <w:szCs w:val="32"/>
              </w:rPr>
            </w:pPr>
            <w:r w:rsidRPr="008152C2">
              <w:rPr>
                <w:sz w:val="32"/>
                <w:szCs w:val="32"/>
              </w:rPr>
              <w:t>Anoop R. Madhavan, represented by Power of Attorney Holder A.G. Kishore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86BB7CE" w14:textId="77777777" w:rsidR="00FC1526" w:rsidRDefault="00FC1526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FABAEBA" w14:textId="77777777" w:rsidR="00CF223A" w:rsidRPr="008152C2" w:rsidRDefault="00000000">
            <w:pPr>
              <w:pStyle w:val="Table"/>
              <w:jc w:val="right"/>
              <w:rPr>
                <w:b/>
                <w:bCs/>
                <w:i/>
                <w:iCs/>
                <w:sz w:val="32"/>
                <w:szCs w:val="32"/>
              </w:rPr>
            </w:pPr>
            <w:r w:rsidRPr="008152C2">
              <w:rPr>
                <w:b/>
                <w:bCs/>
                <w:i/>
                <w:iCs/>
                <w:sz w:val="32"/>
                <w:szCs w:val="32"/>
              </w:rPr>
              <w:t>… PLAINTIFF</w:t>
            </w:r>
          </w:p>
        </w:tc>
      </w:tr>
      <w:tr w:rsidR="00CF223A" w:rsidRPr="008152C2" w14:paraId="155132B7" w14:textId="77777777" w:rsidTr="008152C2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57775B03" w14:textId="77777777" w:rsidR="00FC1526" w:rsidRDefault="00FC1526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E23CA91" w14:textId="77777777" w:rsidR="00CF223A" w:rsidRPr="008152C2" w:rsidRDefault="00000000">
            <w:pPr>
              <w:pStyle w:val="Table"/>
              <w:jc w:val="center"/>
              <w:rPr>
                <w:sz w:val="32"/>
                <w:szCs w:val="32"/>
              </w:rPr>
            </w:pPr>
            <w:r w:rsidRPr="008152C2">
              <w:rPr>
                <w:i/>
                <w:sz w:val="32"/>
                <w:szCs w:val="32"/>
              </w:rPr>
              <w:t>VERSUS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8EB788E" w14:textId="77777777" w:rsidR="00FC1526" w:rsidRDefault="00FC1526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</w:tr>
      <w:tr w:rsidR="00CF223A" w:rsidRPr="008152C2" w14:paraId="3DF50BA7" w14:textId="77777777" w:rsidTr="008152C2"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</w:tcPr>
          <w:p w14:paraId="6713465C" w14:textId="77777777" w:rsidR="00CF223A" w:rsidRPr="008152C2" w:rsidRDefault="00000000">
            <w:pPr>
              <w:pStyle w:val="Table"/>
              <w:rPr>
                <w:sz w:val="32"/>
                <w:szCs w:val="32"/>
              </w:rPr>
            </w:pPr>
            <w:r w:rsidRPr="008152C2">
              <w:rPr>
                <w:sz w:val="32"/>
                <w:szCs w:val="32"/>
              </w:rPr>
              <w:t xml:space="preserve">Alummoottil </w:t>
            </w:r>
            <w:proofErr w:type="spellStart"/>
            <w:r w:rsidRPr="008152C2">
              <w:rPr>
                <w:sz w:val="32"/>
                <w:szCs w:val="32"/>
              </w:rPr>
              <w:t>Tharavad</w:t>
            </w:r>
            <w:proofErr w:type="spellEnd"/>
            <w:r w:rsidRPr="008152C2">
              <w:rPr>
                <w:sz w:val="32"/>
                <w:szCs w:val="32"/>
              </w:rPr>
              <w:t xml:space="preserve"> Trust &amp; Others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C7C99BC" w14:textId="77777777" w:rsidR="00FC1526" w:rsidRDefault="00FC1526">
            <w:pPr>
              <w:widowControl/>
              <w:snapToGrid/>
              <w:spacing w:after="0" w:line="240" w:lineRule="auto"/>
              <w:jc w:val="left"/>
              <w:rPr>
                <w:rFonts w:ascii="Times New Roman" w:hAnsi="Times New Roman"/>
                <w:spacing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B2AA47C" w14:textId="77777777" w:rsidR="00CF223A" w:rsidRPr="008152C2" w:rsidRDefault="00000000">
            <w:pPr>
              <w:pStyle w:val="Table"/>
              <w:jc w:val="right"/>
              <w:rPr>
                <w:b/>
                <w:bCs/>
                <w:i/>
                <w:iCs/>
                <w:sz w:val="32"/>
                <w:szCs w:val="32"/>
              </w:rPr>
            </w:pPr>
            <w:r w:rsidRPr="008152C2">
              <w:rPr>
                <w:b/>
                <w:bCs/>
                <w:i/>
                <w:iCs/>
                <w:sz w:val="32"/>
                <w:szCs w:val="32"/>
              </w:rPr>
              <w:t>… DEFENDANTS</w:t>
            </w:r>
          </w:p>
        </w:tc>
      </w:tr>
    </w:tbl>
    <w:p w14:paraId="77505838" w14:textId="77777777" w:rsidR="005509EA" w:rsidRDefault="005509EA">
      <w:pPr>
        <w:pStyle w:val="Heading2"/>
      </w:pPr>
    </w:p>
    <w:p w14:paraId="5AE0CD50" w14:textId="7638ACF6" w:rsidR="00CF223A" w:rsidRDefault="00000000">
      <w:pPr>
        <w:pStyle w:val="Heading2"/>
      </w:pPr>
      <w:r>
        <w:t>MEMORANDUM FOR DISPOSAL OF I.A. 5/2026 ON 24.07.2026</w:t>
      </w:r>
    </w:p>
    <w:p w14:paraId="7D3149C1" w14:textId="77777777" w:rsidR="00CF223A" w:rsidRDefault="00000000">
      <w:r>
        <w:t xml:space="preserve">The Plaintiff requests that I.A. 5/2026 be heard on merits and finally disposed of on 24.07.2026, before the Trust corpus is emptied. </w:t>
      </w:r>
      <w:r>
        <w:rPr>
          <w:i/>
          <w:iCs/>
        </w:rPr>
        <w:t xml:space="preserve">Prima facie </w:t>
      </w:r>
      <w:r>
        <w:t>case, balance of convenience, and irreparable injury stand established on D2’s own records.</w:t>
      </w:r>
    </w:p>
    <w:p w14:paraId="77041477" w14:textId="77777777" w:rsidR="009B62AE" w:rsidRDefault="009B62AE">
      <w:pPr>
        <w:pStyle w:val="Heading3"/>
      </w:pPr>
    </w:p>
    <w:p w14:paraId="66E76D31" w14:textId="4D41F941" w:rsidR="00CF223A" w:rsidRDefault="00000000">
      <w:pPr>
        <w:pStyle w:val="Heading3"/>
      </w:pPr>
      <w:r>
        <w:t>FACTS</w:t>
      </w:r>
    </w:p>
    <w:p w14:paraId="5754E936" w14:textId="0D47C88F" w:rsidR="00CF223A" w:rsidRDefault="00000000">
      <w:pPr>
        <w:pStyle w:val="ListNumber"/>
        <w:numPr>
          <w:ilvl w:val="0"/>
          <w:numId w:val="2"/>
        </w:numPr>
        <w:ind w:left="540" w:hanging="540"/>
      </w:pPr>
      <w:r>
        <w:t xml:space="preserve">Alummoottil </w:t>
      </w:r>
      <w:proofErr w:type="spellStart"/>
      <w:r w:rsidR="00D53FC6">
        <w:t>Tharavad</w:t>
      </w:r>
      <w:proofErr w:type="spellEnd"/>
      <w:r w:rsidR="00D53FC6">
        <w:t xml:space="preserve"> </w:t>
      </w:r>
      <w:r>
        <w:t xml:space="preserve">has four hundred (400) years of history, which the </w:t>
      </w:r>
      <w:r w:rsidR="00D53FC6">
        <w:t>1</w:t>
      </w:r>
      <w:r w:rsidR="00D53FC6" w:rsidRPr="00D53FC6">
        <w:rPr>
          <w:vertAlign w:val="superscript"/>
        </w:rPr>
        <w:t>st</w:t>
      </w:r>
      <w:r w:rsidR="00D53FC6">
        <w:t xml:space="preserve"> Defendant (D1) </w:t>
      </w:r>
      <w:r>
        <w:t>Trust exists to preserve (Exhibit P1; Deed 2/IV/2007, recital, pp. 1-2) for “</w:t>
      </w:r>
      <w:r>
        <w:rPr>
          <w:rStyle w:val="Emphasis"/>
        </w:rPr>
        <w:t xml:space="preserve">descendants of Alummoottil Chellamma </w:t>
      </w:r>
      <w:proofErr w:type="spellStart"/>
      <w:r>
        <w:rPr>
          <w:rStyle w:val="Emphasis"/>
        </w:rPr>
        <w:t>Channathy</w:t>
      </w:r>
      <w:proofErr w:type="spellEnd"/>
      <w:r>
        <w:t>” (p. 3). The Plaintiff, her grandson, was raised there.</w:t>
      </w:r>
    </w:p>
    <w:p w14:paraId="6F83927C" w14:textId="7584BF9D" w:rsidR="00CF223A" w:rsidRDefault="00D53FC6">
      <w:pPr>
        <w:pStyle w:val="ListNumber"/>
        <w:numPr>
          <w:ilvl w:val="0"/>
          <w:numId w:val="2"/>
        </w:numPr>
        <w:ind w:left="540" w:hanging="540"/>
      </w:pPr>
      <w:r>
        <w:t>2</w:t>
      </w:r>
      <w:r w:rsidRPr="00D53FC6">
        <w:rPr>
          <w:vertAlign w:val="superscript"/>
        </w:rPr>
        <w:t>nd</w:t>
      </w:r>
      <w:r>
        <w:t xml:space="preserve"> Defendant (D2), D1’s Managing Trustee and a fiduciary to the Plaintiff, pleads “</w:t>
      </w:r>
      <w:r>
        <w:rPr>
          <w:i/>
          <w:iCs/>
        </w:rPr>
        <w:t>Trust’s loss</w:t>
      </w:r>
      <w:r>
        <w:t>” — but the loss is his own, not the Trust’s. On 24.01.2026, D2 saddled the 19-year-old D1 holding just Rs. 6,000/- in bank (Bank statement, 18.05.2026) with Rs. 11,99,85,900</w:t>
      </w:r>
      <w:r w:rsidR="005509EA">
        <w:t>/-</w:t>
      </w:r>
      <w:r>
        <w:t xml:space="preserve"> “</w:t>
      </w:r>
      <w:r>
        <w:rPr>
          <w:i/>
          <w:iCs/>
        </w:rPr>
        <w:t>expenses</w:t>
      </w:r>
      <w:r>
        <w:t xml:space="preserve">” </w:t>
      </w:r>
      <w:r w:rsidR="005509EA">
        <w:t xml:space="preserve">with zero accounting. </w:t>
      </w:r>
      <w:r>
        <w:t>(Minutes Book, 24.01.2026, p. 19, item 4).</w:t>
      </w:r>
    </w:p>
    <w:p w14:paraId="25977F08" w14:textId="6D6C25C2" w:rsidR="00CF223A" w:rsidRDefault="00D53FC6">
      <w:pPr>
        <w:pStyle w:val="ListNumber"/>
        <w:numPr>
          <w:ilvl w:val="0"/>
          <w:numId w:val="2"/>
        </w:numPr>
        <w:ind w:left="540" w:hanging="540"/>
        <w:rPr>
          <w:rStyle w:val="Emphasis"/>
        </w:rPr>
      </w:pPr>
      <w:r>
        <w:t>D1 now “</w:t>
      </w:r>
      <w:r>
        <w:rPr>
          <w:i/>
          <w:iCs/>
        </w:rPr>
        <w:t>owes</w:t>
      </w:r>
      <w:r>
        <w:t>” Rs. 1,46,86,000/- to D2, his son, and a contractor</w:t>
      </w:r>
      <w:r w:rsidR="00806DD4">
        <w:t xml:space="preserve"> alone</w:t>
      </w:r>
      <w:r>
        <w:t xml:space="preserve"> (</w:t>
      </w:r>
      <w:r>
        <w:rPr>
          <w:i/>
          <w:iCs/>
        </w:rPr>
        <w:t>ibid.</w:t>
      </w:r>
      <w:r>
        <w:t xml:space="preserve">) with zero accounts. </w:t>
      </w:r>
      <w:r>
        <w:rPr>
          <w:rStyle w:val="Emphasis"/>
        </w:rPr>
        <w:t>Sections 51 and 66 of the Indian Trusts Act, 1882 (ITA)</w:t>
      </w:r>
      <w:r>
        <w:t>, exist to prohibit exactly this self-dealing.</w:t>
      </w:r>
    </w:p>
    <w:p w14:paraId="3FF1239B" w14:textId="5AA354AF" w:rsidR="00CF223A" w:rsidRDefault="00000000">
      <w:pPr>
        <w:pStyle w:val="ListNumber"/>
        <w:numPr>
          <w:ilvl w:val="0"/>
          <w:numId w:val="2"/>
        </w:numPr>
        <w:ind w:left="540" w:hanging="540"/>
      </w:pPr>
      <w:r>
        <w:t>On 24.01.2026, D2 and four (4) Trustees resolved to “</w:t>
      </w:r>
      <w:r>
        <w:rPr>
          <w:i/>
          <w:iCs/>
        </w:rPr>
        <w:t>terminate</w:t>
      </w:r>
      <w:r>
        <w:t xml:space="preserve">” the </w:t>
      </w:r>
      <w:r>
        <w:lastRenderedPageBreak/>
        <w:t>Plaintiff’s “</w:t>
      </w:r>
      <w:r>
        <w:rPr>
          <w:i/>
          <w:iCs/>
        </w:rPr>
        <w:t>beneficiary status through legal means</w:t>
      </w:r>
      <w:r>
        <w:t>” (Minutes Book p. 20, item 6). A non-existent right cannot be terminated</w:t>
      </w:r>
      <w:r w:rsidR="005509EA">
        <w:t>. This establishes</w:t>
      </w:r>
      <w:r>
        <w:t>:</w:t>
      </w:r>
    </w:p>
    <w:p w14:paraId="20EFD903" w14:textId="5A57C41C" w:rsidR="00CF223A" w:rsidRDefault="00000000">
      <w:pPr>
        <w:pStyle w:val="ListNumber2"/>
        <w:numPr>
          <w:ilvl w:val="1"/>
          <w:numId w:val="2"/>
        </w:numPr>
        <w:ind w:left="1080" w:hanging="540"/>
      </w:pPr>
      <w:r>
        <w:t>D2 repeatedly swore the Plaintiff “</w:t>
      </w:r>
      <w:r>
        <w:rPr>
          <w:i/>
          <w:iCs/>
        </w:rPr>
        <w:t>is not a beneficiary</w:t>
      </w:r>
      <w:r>
        <w:t>” and has “</w:t>
      </w:r>
      <w:r>
        <w:rPr>
          <w:i/>
          <w:iCs/>
        </w:rPr>
        <w:t>no connection</w:t>
      </w:r>
      <w:r>
        <w:t xml:space="preserve">” with the Trust. </w:t>
      </w:r>
      <w:r w:rsidR="005509EA">
        <w:t>All these pleadings</w:t>
      </w:r>
      <w:r>
        <w:t xml:space="preserve"> are false.</w:t>
      </w:r>
    </w:p>
    <w:p w14:paraId="2C650A8E" w14:textId="2A3B321F" w:rsidR="00CF223A" w:rsidRDefault="00000000">
      <w:pPr>
        <w:pStyle w:val="ListNumber2"/>
        <w:numPr>
          <w:ilvl w:val="1"/>
          <w:numId w:val="2"/>
        </w:numPr>
        <w:ind w:left="1080" w:hanging="540"/>
        <w:rPr>
          <w:iCs/>
        </w:rPr>
      </w:pPr>
      <w:r>
        <w:rPr>
          <w:i/>
        </w:rPr>
        <w:t xml:space="preserve">Section 14 ITA </w:t>
      </w:r>
      <w:r>
        <w:t>bars trustees from claiming title adverse to the beneficiary</w:t>
      </w:r>
      <w:r>
        <w:rPr>
          <w:i/>
        </w:rPr>
        <w:t xml:space="preserve">. </w:t>
      </w:r>
      <w:r>
        <w:t>Each such pleading</w:t>
      </w:r>
      <w:r w:rsidR="00D53FC6">
        <w:t xml:space="preserve"> of D2</w:t>
      </w:r>
      <w:r>
        <w:t xml:space="preserve"> is a breach of Trust.</w:t>
      </w:r>
    </w:p>
    <w:p w14:paraId="3B52A17C" w14:textId="2682F9D3" w:rsidR="00CF223A" w:rsidRDefault="00000000">
      <w:pPr>
        <w:pStyle w:val="ListNumber"/>
        <w:numPr>
          <w:ilvl w:val="0"/>
          <w:numId w:val="2"/>
        </w:numPr>
      </w:pPr>
      <w:r>
        <w:rPr>
          <w:i/>
          <w:iCs/>
        </w:rPr>
        <w:t>Pendente lite</w:t>
      </w:r>
      <w:r>
        <w:t xml:space="preserve">, D2 leased Trust property to one </w:t>
      </w:r>
      <w:proofErr w:type="spellStart"/>
      <w:r w:rsidRPr="00806DD4">
        <w:rPr>
          <w:i/>
          <w:iCs/>
        </w:rPr>
        <w:t>Sreemoolavasam</w:t>
      </w:r>
      <w:proofErr w:type="spellEnd"/>
      <w:r>
        <w:t xml:space="preserve"> — GST-registered on Trust </w:t>
      </w:r>
      <w:r w:rsidR="00806DD4">
        <w:t>address</w:t>
      </w:r>
      <w:r>
        <w:t xml:space="preserve">, 09.12.2025 (Exhibit P9). This concealed lease is </w:t>
      </w:r>
      <w:proofErr w:type="spellStart"/>
      <w:r>
        <w:rPr>
          <w:rStyle w:val="Emphasis"/>
        </w:rPr>
        <w:t>lis</w:t>
      </w:r>
      <w:proofErr w:type="spellEnd"/>
      <w:r>
        <w:rPr>
          <w:rStyle w:val="Emphasis"/>
        </w:rPr>
        <w:t xml:space="preserve"> pendens</w:t>
      </w:r>
      <w:r>
        <w:t xml:space="preserve"> thrice over (O.S. 84/2024, 243/2024 and 214/2025) under </w:t>
      </w:r>
      <w:r>
        <w:rPr>
          <w:i/>
          <w:iCs/>
        </w:rPr>
        <w:t>Section 52 of the Transfer of Property Act, 1882</w:t>
      </w:r>
      <w:r>
        <w:t xml:space="preserve">; D2 and the </w:t>
      </w:r>
      <w:r>
        <w:rPr>
          <w:i/>
          <w:iCs/>
        </w:rPr>
        <w:t>pendente lite</w:t>
      </w:r>
      <w:r>
        <w:t xml:space="preserve"> lessee acted at their peril, in defiance of this Court’s seisin. </w:t>
      </w:r>
    </w:p>
    <w:p w14:paraId="6C09D8DA" w14:textId="5CCB73CA" w:rsidR="00CF223A" w:rsidRDefault="00000000">
      <w:pPr>
        <w:pStyle w:val="ListNumber"/>
        <w:numPr>
          <w:ilvl w:val="0"/>
          <w:numId w:val="2"/>
        </w:numPr>
      </w:pPr>
      <w:r>
        <w:t>The</w:t>
      </w:r>
      <w:r w:rsidR="00D53FC6">
        <w:t xml:space="preserve"> purported</w:t>
      </w:r>
      <w:r>
        <w:t xml:space="preserve"> lease is illegal, signed three (3) months before its “</w:t>
      </w:r>
      <w:r>
        <w:rPr>
          <w:i/>
          <w:iCs/>
        </w:rPr>
        <w:t>ratification</w:t>
      </w:r>
      <w:r>
        <w:t>” by Trustees (Minutes Book p. 17, item 1; Lease 3237/2025 p. 1).</w:t>
      </w:r>
    </w:p>
    <w:p w14:paraId="50D115FC" w14:textId="492C532C" w:rsidR="00CF223A" w:rsidRDefault="00000000">
      <w:pPr>
        <w:pStyle w:val="ListNumber"/>
        <w:numPr>
          <w:ilvl w:val="0"/>
          <w:numId w:val="2"/>
        </w:numPr>
      </w:pPr>
      <w:r>
        <w:t>Even this manufactured cover was partial: the minutes allow a ten (10)-year lease only for the Meda (p. 16, item 1(a)); “</w:t>
      </w:r>
      <w:r>
        <w:rPr>
          <w:i/>
          <w:iCs/>
        </w:rPr>
        <w:t>landed properties</w:t>
      </w:r>
      <w:r>
        <w:t xml:space="preserve">” get </w:t>
      </w:r>
      <w:r w:rsidR="00D53FC6">
        <w:t xml:space="preserve">only </w:t>
      </w:r>
      <w:r>
        <w:t>“</w:t>
      </w:r>
      <w:r>
        <w:rPr>
          <w:i/>
          <w:iCs/>
        </w:rPr>
        <w:t>11 months</w:t>
      </w:r>
      <w:r>
        <w:t xml:space="preserve">” </w:t>
      </w:r>
      <w:r w:rsidR="00D53FC6">
        <w:t xml:space="preserve">of lease </w:t>
      </w:r>
      <w:r>
        <w:t xml:space="preserve">(p. 17, item 1(e)). </w:t>
      </w:r>
    </w:p>
    <w:p w14:paraId="004548E1" w14:textId="7F64EB80" w:rsidR="00CF223A" w:rsidRDefault="00000000">
      <w:pPr>
        <w:pStyle w:val="ListNumber"/>
        <w:numPr>
          <w:ilvl w:val="0"/>
          <w:numId w:val="2"/>
        </w:numPr>
      </w:pPr>
      <w:r>
        <w:t xml:space="preserve">Yet on 27.10.2025 D2 </w:t>
      </w:r>
      <w:r w:rsidR="005509EA">
        <w:t>leased for 10 years</w:t>
      </w:r>
      <w:r w:rsidR="00806DD4">
        <w:t xml:space="preserve"> </w:t>
      </w:r>
      <w:r>
        <w:t xml:space="preserve">29.42 of 38.06 Ares </w:t>
      </w:r>
      <w:r w:rsidR="00806DD4">
        <w:t>(</w:t>
      </w:r>
      <w:proofErr w:type="spellStart"/>
      <w:r w:rsidR="00806DD4">
        <w:t>including</w:t>
      </w:r>
      <w:r>
        <w:t>Nalukettu</w:t>
      </w:r>
      <w:proofErr w:type="spellEnd"/>
      <w:r>
        <w:t xml:space="preserve"> land</w:t>
      </w:r>
      <w:r w:rsidR="00806DD4">
        <w:t>)</w:t>
      </w:r>
      <w:r>
        <w:t>, with “</w:t>
      </w:r>
      <w:r>
        <w:rPr>
          <w:i/>
          <w:iCs/>
        </w:rPr>
        <w:t>all easements and all other rights appurtenant</w:t>
      </w:r>
      <w:r>
        <w:t xml:space="preserve">” (Lease 3237/2025, Schedule; cl. 2) — immovable </w:t>
      </w:r>
      <w:r w:rsidR="005509EA">
        <w:t xml:space="preserve">&amp; </w:t>
      </w:r>
      <w:r>
        <w:t>movable property handed over with zero security</w:t>
      </w:r>
      <w:r w:rsidR="00D53FC6">
        <w:t xml:space="preserve"> to a months-old outfit.</w:t>
      </w:r>
      <w:r w:rsidR="00806DD4">
        <w:t xml:space="preserve"> The lease is illegal.</w:t>
      </w:r>
    </w:p>
    <w:p w14:paraId="7D099B87" w14:textId="66F0CFD4" w:rsidR="00CF223A" w:rsidRDefault="00000000">
      <w:pPr>
        <w:pStyle w:val="ListNumber"/>
        <w:numPr>
          <w:ilvl w:val="0"/>
          <w:numId w:val="2"/>
        </w:numPr>
      </w:pPr>
      <w:r>
        <w:t xml:space="preserve">D2’s </w:t>
      </w:r>
      <w:r>
        <w:rPr>
          <w:rStyle w:val="Emphasis"/>
        </w:rPr>
        <w:t>pendente lite</w:t>
      </w:r>
      <w:r>
        <w:t xml:space="preserve"> lessee now sells Alummoottil’s heritage as its own “</w:t>
      </w:r>
      <w:r>
        <w:rPr>
          <w:i/>
          <w:iCs/>
        </w:rPr>
        <w:t>450 years of history</w:t>
      </w:r>
      <w:r>
        <w:t xml:space="preserve">” without naming Alummoottil </w:t>
      </w:r>
      <w:r w:rsidR="00806DD4">
        <w:t xml:space="preserve">even once </w:t>
      </w:r>
      <w:r>
        <w:t xml:space="preserve">(Exhibits P2-P5). What heritage has a months-old outfit — and what business need for the </w:t>
      </w:r>
      <w:proofErr w:type="spellStart"/>
      <w:r>
        <w:t>Tharavad’s</w:t>
      </w:r>
      <w:proofErr w:type="spellEnd"/>
      <w:r>
        <w:t xml:space="preserve"> centuries-old heirlooms?</w:t>
      </w:r>
    </w:p>
    <w:p w14:paraId="74A0884C" w14:textId="763FCCE4" w:rsidR="00CF223A" w:rsidRDefault="00000000">
      <w:pPr>
        <w:pStyle w:val="ListNumber"/>
        <w:numPr>
          <w:ilvl w:val="0"/>
          <w:numId w:val="2"/>
        </w:numPr>
      </w:pPr>
      <w:r>
        <w:t xml:space="preserve">D2 and his </w:t>
      </w:r>
      <w:r>
        <w:rPr>
          <w:i/>
          <w:iCs/>
        </w:rPr>
        <w:t>pendente lite</w:t>
      </w:r>
      <w:r>
        <w:t xml:space="preserve"> lessee, selling the months-old outfit’s “heritage” for profit</w:t>
      </w:r>
      <w:r w:rsidR="005509EA">
        <w:t xml:space="preserve"> (P6-P8)</w:t>
      </w:r>
      <w:r>
        <w:t>,</w:t>
      </w:r>
      <w:r w:rsidR="00ED07EA">
        <w:t xml:space="preserve"> are cheating the public and</w:t>
      </w:r>
      <w:r>
        <w:t xml:space="preserve"> irreversibly erasing the Trust’s foundational objective — heritage preservation (Deed 2/IV/2007, recital, pp. 1-2). </w:t>
      </w:r>
      <w:r w:rsidR="00806DD4">
        <w:t>It is the</w:t>
      </w:r>
      <w:r>
        <w:t xml:space="preserve"> gravest </w:t>
      </w:r>
      <w:r w:rsidR="00806DD4">
        <w:t>breach,</w:t>
      </w:r>
      <w:r>
        <w:t xml:space="preserve"> the injury irreparable.</w:t>
      </w:r>
    </w:p>
    <w:p w14:paraId="4D99B63B" w14:textId="7EA81B31" w:rsidR="00CF223A" w:rsidRDefault="00000000">
      <w:pPr>
        <w:pStyle w:val="ListNumber"/>
        <w:numPr>
          <w:ilvl w:val="0"/>
          <w:numId w:val="2"/>
        </w:numPr>
      </w:pPr>
      <w:r>
        <w:t>The High Court directed</w:t>
      </w:r>
      <w:r w:rsidR="005509EA">
        <w:t xml:space="preserve"> timely</w:t>
      </w:r>
      <w:r>
        <w:t xml:space="preserve"> disposal of I.A. 5/2025 (OP(C) 3278/2025, 15.01.2026). On 16.02.2026, D2 played fraud upon this </w:t>
      </w:r>
      <w:r>
        <w:lastRenderedPageBreak/>
        <w:t>Court, swearing “</w:t>
      </w:r>
      <w:r>
        <w:rPr>
          <w:i/>
          <w:iCs/>
        </w:rPr>
        <w:t>nothing material has been concealed</w:t>
      </w:r>
      <w:r>
        <w:t xml:space="preserve">”; I.A. 5/2025 was closed on 04.03.2026 </w:t>
      </w:r>
      <w:proofErr w:type="gramStart"/>
      <w:r w:rsidR="005509EA">
        <w:t>in light of</w:t>
      </w:r>
      <w:proofErr w:type="gramEnd"/>
      <w:r w:rsidR="005509EA">
        <w:t xml:space="preserve"> that affidavit</w:t>
      </w:r>
      <w:r>
        <w:t xml:space="preserve">, without </w:t>
      </w:r>
      <w:r w:rsidR="00806DD4" w:rsidRPr="00806DD4">
        <w:rPr>
          <w:i/>
          <w:iCs/>
        </w:rPr>
        <w:t xml:space="preserve">bona </w:t>
      </w:r>
      <w:r w:rsidR="008152C2" w:rsidRPr="00806DD4">
        <w:rPr>
          <w:i/>
          <w:iCs/>
        </w:rPr>
        <w:t>fides</w:t>
      </w:r>
      <w:r w:rsidR="008152C2">
        <w:t xml:space="preserve"> review</w:t>
      </w:r>
      <w:r>
        <w:t>. The</w:t>
      </w:r>
      <w:r w:rsidR="005509EA">
        <w:t xml:space="preserve"> concealed arrangement involving</w:t>
      </w:r>
      <w:r>
        <w:t xml:space="preserve"> </w:t>
      </w:r>
      <w:r>
        <w:rPr>
          <w:i/>
          <w:iCs/>
        </w:rPr>
        <w:t>pendente lite</w:t>
      </w:r>
      <w:r>
        <w:t xml:space="preserve"> lease and lessee, suppressed then, reached this Court not by disclosure but by </w:t>
      </w:r>
      <w:r w:rsidR="00806DD4">
        <w:t xml:space="preserve">Plaintiff’s </w:t>
      </w:r>
      <w:r>
        <w:t>exposure (Plaintiff’s rejoinder, 13.03.2026, para 3(</w:t>
      </w:r>
      <w:proofErr w:type="spellStart"/>
      <w:r>
        <w:t>i</w:t>
      </w:r>
      <w:proofErr w:type="spellEnd"/>
      <w:r>
        <w:t>)).</w:t>
      </w:r>
    </w:p>
    <w:p w14:paraId="1BBDE713" w14:textId="222B939B" w:rsidR="00D53FC6" w:rsidRDefault="00000000" w:rsidP="00D53FC6">
      <w:pPr>
        <w:pStyle w:val="ListNumber"/>
        <w:numPr>
          <w:ilvl w:val="0"/>
          <w:numId w:val="2"/>
        </w:numPr>
      </w:pPr>
      <w:r>
        <w:t xml:space="preserve">Even after exposure, D2 still </w:t>
      </w:r>
      <w:r w:rsidR="005509EA">
        <w:t xml:space="preserve">conceals and </w:t>
      </w:r>
      <w:r>
        <w:t>suppresses: the “</w:t>
      </w:r>
      <w:r>
        <w:rPr>
          <w:i/>
          <w:iCs/>
        </w:rPr>
        <w:t>profit-share</w:t>
      </w:r>
      <w:r>
        <w:t>” documents (p. 17, item 1(e)) remain withheld from the Court to this date.</w:t>
      </w:r>
    </w:p>
    <w:p w14:paraId="1912DAF9" w14:textId="77777777" w:rsidR="00ED07EA" w:rsidRDefault="00D53FC6" w:rsidP="00D53FC6">
      <w:pPr>
        <w:pStyle w:val="ListNumber"/>
        <w:numPr>
          <w:ilvl w:val="0"/>
          <w:numId w:val="2"/>
        </w:numPr>
      </w:pPr>
      <w:r>
        <w:t>D2’s “hardship” plea is as false as his last: in O.S. 243/2024 he pled “</w:t>
      </w:r>
      <w:r>
        <w:rPr>
          <w:i/>
          <w:iCs/>
        </w:rPr>
        <w:t>construction works… at the instance of the plaintiff trust</w:t>
      </w:r>
      <w:r>
        <w:t>”, the Plaintiff “</w:t>
      </w:r>
      <w:r>
        <w:rPr>
          <w:i/>
          <w:iCs/>
        </w:rPr>
        <w:t>brutally manhandled 3 employees deployed by the plaintiff trust</w:t>
      </w:r>
      <w:r>
        <w:t>”, and the Trust “</w:t>
      </w:r>
      <w:r>
        <w:rPr>
          <w:i/>
          <w:iCs/>
        </w:rPr>
        <w:t>will be put to irreparable loss, injury and hardship</w:t>
      </w:r>
      <w:r>
        <w:t xml:space="preserve">” (plaint, paras 4–5). </w:t>
      </w:r>
    </w:p>
    <w:p w14:paraId="64203D44" w14:textId="0F0A3F20" w:rsidR="00D53FC6" w:rsidRPr="00D53FC6" w:rsidRDefault="00D53FC6" w:rsidP="00D53FC6">
      <w:pPr>
        <w:pStyle w:val="ListNumber"/>
        <w:numPr>
          <w:ilvl w:val="0"/>
          <w:numId w:val="2"/>
        </w:numPr>
      </w:pPr>
      <w:r w:rsidRPr="00D53FC6">
        <w:t xml:space="preserve">D2 </w:t>
      </w:r>
      <w:r w:rsidR="008152C2">
        <w:t>now swears</w:t>
      </w:r>
      <w:r w:rsidR="00806DD4">
        <w:t xml:space="preserve"> it </w:t>
      </w:r>
      <w:r w:rsidR="005509EA">
        <w:t>is</w:t>
      </w:r>
      <w:r w:rsidR="00806DD4">
        <w:t xml:space="preserve"> </w:t>
      </w:r>
      <w:r>
        <w:t>“</w:t>
      </w:r>
      <w:r>
        <w:rPr>
          <w:i/>
          <w:iCs/>
        </w:rPr>
        <w:t>not Trust construction</w:t>
      </w:r>
      <w:r>
        <w:t>” (Af</w:t>
      </w:r>
      <w:r w:rsidR="005509EA">
        <w:t>f</w:t>
      </w:r>
      <w:r>
        <w:t xml:space="preserve"> 16.02.2026, paras 4–7).</w:t>
      </w:r>
    </w:p>
    <w:p w14:paraId="7644E627" w14:textId="5B93CE18" w:rsidR="00CF223A" w:rsidRPr="00806DD4" w:rsidRDefault="00000000">
      <w:pPr>
        <w:pStyle w:val="ListNumber"/>
        <w:numPr>
          <w:ilvl w:val="0"/>
          <w:numId w:val="2"/>
        </w:numPr>
        <w:rPr>
          <w:i/>
          <w:iCs/>
        </w:rPr>
      </w:pPr>
      <w:r>
        <w:t>D2 approbates and reprobates at convenience</w:t>
      </w:r>
      <w:r w:rsidR="008152C2">
        <w:t>. He</w:t>
      </w:r>
      <w:r w:rsidR="00D53FC6">
        <w:t xml:space="preserve"> consistently</w:t>
      </w:r>
      <w:r>
        <w:t xml:space="preserve"> approaches this Court with unclean hands (</w:t>
      </w:r>
      <w:r>
        <w:rPr>
          <w:i/>
          <w:iCs/>
        </w:rPr>
        <w:t xml:space="preserve">Dalip Singh </w:t>
      </w:r>
      <w:r>
        <w:t xml:space="preserve">(2010) 2 SCC 114); </w:t>
      </w:r>
      <w:r w:rsidR="00D53FC6">
        <w:t>such</w:t>
      </w:r>
      <w:r>
        <w:t xml:space="preserve"> falsehoods </w:t>
      </w:r>
      <w:r w:rsidR="008152C2">
        <w:t xml:space="preserve">only </w:t>
      </w:r>
      <w:r>
        <w:t xml:space="preserve">invite adverse inference. </w:t>
      </w:r>
      <w:r w:rsidRPr="00806DD4">
        <w:rPr>
          <w:i/>
          <w:iCs/>
        </w:rPr>
        <w:t>D2 is entitled to no relief — interim or final.</w:t>
      </w:r>
    </w:p>
    <w:p w14:paraId="4C3E6971" w14:textId="77777777" w:rsidR="00CF223A" w:rsidRDefault="00000000">
      <w:pPr>
        <w:pStyle w:val="ListNumber"/>
        <w:numPr>
          <w:ilvl w:val="0"/>
          <w:numId w:val="2"/>
        </w:numPr>
      </w:pPr>
      <w:r>
        <w:t xml:space="preserve">D2’s objections (D5–D7, </w:t>
      </w:r>
      <w:proofErr w:type="spellStart"/>
      <w:r>
        <w:t>impleadment</w:t>
      </w:r>
      <w:proofErr w:type="spellEnd"/>
      <w:r>
        <w:t xml:space="preserve">) are procedural distractions. He admits commercial terms began 01.03.2026 — the </w:t>
      </w:r>
      <w:r>
        <w:rPr>
          <w:i/>
          <w:iCs/>
        </w:rPr>
        <w:t>pendente lite</w:t>
      </w:r>
      <w:r>
        <w:t xml:space="preserve"> lease is being acted on. The threat is </w:t>
      </w:r>
      <w:r w:rsidRPr="00806DD4">
        <w:rPr>
          <w:i/>
          <w:iCs/>
        </w:rPr>
        <w:t>imminent and continuing</w:t>
      </w:r>
      <w:r>
        <w:t xml:space="preserve">. </w:t>
      </w:r>
    </w:p>
    <w:p w14:paraId="115FF6E2" w14:textId="11219CB3" w:rsidR="00CF223A" w:rsidRDefault="00000000">
      <w:pPr>
        <w:pStyle w:val="ListNumber"/>
        <w:numPr>
          <w:ilvl w:val="0"/>
          <w:numId w:val="2"/>
        </w:numPr>
      </w:pPr>
      <w:r>
        <w:t>“</w:t>
      </w:r>
      <w:r w:rsidRPr="00ED07EA">
        <w:rPr>
          <w:i/>
          <w:iCs/>
        </w:rPr>
        <w:t>Already started</w:t>
      </w:r>
      <w:r>
        <w:t>” inverts equity: the start exists only because D2 suppressed the lease</w:t>
      </w:r>
      <w:r w:rsidR="00ED07EA">
        <w:t xml:space="preserve"> and lessee</w:t>
      </w:r>
      <w:r>
        <w:t xml:space="preserve">; </w:t>
      </w:r>
      <w:r w:rsidRPr="00806DD4">
        <w:rPr>
          <w:i/>
          <w:iCs/>
        </w:rPr>
        <w:t>no litigant may profit from his own wrong</w:t>
      </w:r>
      <w:r>
        <w:t xml:space="preserve">. D2 never obtained this Court’s leave to encumber the Trust for ten (10) years. A </w:t>
      </w:r>
      <w:r>
        <w:rPr>
          <w:i/>
          <w:iCs/>
        </w:rPr>
        <w:t>fait accompli</w:t>
      </w:r>
      <w:r>
        <w:t xml:space="preserve"> born of suppression confers no right — </w:t>
      </w:r>
      <w:r>
        <w:rPr>
          <w:i/>
          <w:iCs/>
        </w:rPr>
        <w:t>status quo ante</w:t>
      </w:r>
      <w:r>
        <w:t xml:space="preserve"> </w:t>
      </w:r>
      <w:r w:rsidR="00ED07EA">
        <w:t xml:space="preserve">must </w:t>
      </w:r>
      <w:r>
        <w:t>be restored. Balance of convenience lies with the Beneficiary — a fraudster’s “hardship” is no hardship in law.</w:t>
      </w:r>
    </w:p>
    <w:p w14:paraId="298F05FC" w14:textId="77F4F9DD" w:rsidR="00CF223A" w:rsidRDefault="00000000">
      <w:pPr>
        <w:pStyle w:val="ListNumber"/>
        <w:numPr>
          <w:ilvl w:val="0"/>
          <w:numId w:val="2"/>
        </w:numPr>
      </w:pPr>
      <w:r>
        <w:t xml:space="preserve">The infructuous plea fails: I.A. 5/2026 independently seeks to stop commercialization and public entry. I.A. 5/2025 was closed on D2’s false affidavit; a closure so obtained cannot make </w:t>
      </w:r>
      <w:r w:rsidR="005509EA">
        <w:t xml:space="preserve">it </w:t>
      </w:r>
      <w:r>
        <w:t>infructuous (</w:t>
      </w:r>
      <w:proofErr w:type="spellStart"/>
      <w:r>
        <w:rPr>
          <w:i/>
          <w:iCs/>
        </w:rPr>
        <w:t>Chengalvaraya</w:t>
      </w:r>
      <w:proofErr w:type="spellEnd"/>
      <w:r>
        <w:rPr>
          <w:i/>
          <w:iCs/>
        </w:rPr>
        <w:t xml:space="preserve"> Naidu</w:t>
      </w:r>
      <w:r>
        <w:t xml:space="preserve">, AIR 1994 SC 853; </w:t>
      </w:r>
      <w:proofErr w:type="spellStart"/>
      <w:r>
        <w:rPr>
          <w:i/>
          <w:iCs/>
        </w:rPr>
        <w:t>Papayya</w:t>
      </w:r>
      <w:proofErr w:type="spellEnd"/>
      <w:r>
        <w:rPr>
          <w:i/>
          <w:iCs/>
        </w:rPr>
        <w:t xml:space="preserve"> Sastry</w:t>
      </w:r>
      <w:r>
        <w:t>, (2007) 4 SCC 221).</w:t>
      </w:r>
    </w:p>
    <w:p w14:paraId="6EE54BC4" w14:textId="22EFF612" w:rsidR="00CF223A" w:rsidRDefault="00000000">
      <w:pPr>
        <w:pStyle w:val="ListNumber"/>
        <w:numPr>
          <w:ilvl w:val="0"/>
          <w:numId w:val="2"/>
        </w:numPr>
      </w:pPr>
      <w:r>
        <w:rPr>
          <w:rStyle w:val="Emphasis"/>
        </w:rPr>
        <w:t>Section 49 ITA</w:t>
      </w:r>
      <w:r>
        <w:t xml:space="preserve"> applies squarely. D2 evaded this Court’s accounting jurisdiction for six (6) months despite HC directions, ignored accounts de</w:t>
      </w:r>
      <w:r>
        <w:lastRenderedPageBreak/>
        <w:t>mands for twenty-one (21) months, and denied beneficiary rights for nineteen (19) years. In the 20</w:t>
      </w:r>
      <w:r>
        <w:rPr>
          <w:vertAlign w:val="superscript"/>
        </w:rPr>
        <w:t>th</w:t>
      </w:r>
      <w:r>
        <w:t xml:space="preserve"> year, D2 asks this Court to sanction a decade of commercialization for his own “</w:t>
      </w:r>
      <w:r w:rsidRPr="00806DD4">
        <w:rPr>
          <w:i/>
          <w:iCs/>
        </w:rPr>
        <w:t>reimbursement</w:t>
      </w:r>
      <w:r>
        <w:t>”.</w:t>
      </w:r>
    </w:p>
    <w:p w14:paraId="6D989962" w14:textId="77777777" w:rsidR="00CF223A" w:rsidRDefault="00000000">
      <w:pPr>
        <w:pStyle w:val="ListNumber"/>
        <w:numPr>
          <w:ilvl w:val="0"/>
          <w:numId w:val="2"/>
        </w:numPr>
      </w:pPr>
      <w:r>
        <w:t xml:space="preserve">Each delay entrenches the lease and drains a corpus “expensed” at Rupees Twelve Crores; the damage is severe and irreversible. What suppression began, delay will complete. </w:t>
      </w:r>
      <w:r>
        <w:rPr>
          <w:i/>
          <w:iCs/>
        </w:rPr>
        <w:t>Prima facie</w:t>
      </w:r>
      <w:r>
        <w:t xml:space="preserve"> case, balance of convenience, and irreparable injury all stand on D2’s own records.</w:t>
      </w:r>
    </w:p>
    <w:p w14:paraId="0E82DC16" w14:textId="77777777" w:rsidR="009B62AE" w:rsidRDefault="009B62AE">
      <w:pPr>
        <w:pStyle w:val="Heading3"/>
      </w:pPr>
    </w:p>
    <w:p w14:paraId="1241361F" w14:textId="315E6CDB" w:rsidR="00CF223A" w:rsidRDefault="00000000">
      <w:pPr>
        <w:pStyle w:val="Heading3"/>
      </w:pPr>
      <w:r>
        <w:t>PRAYER</w:t>
      </w:r>
    </w:p>
    <w:p w14:paraId="48B7F80A" w14:textId="77777777" w:rsidR="00806DD4" w:rsidRDefault="00000000">
      <w:r>
        <w:t xml:space="preserve">It is prayed that I.A. 5/2026, pending since 31.03.2026 and posted to 24.07.2026, be taken up, heard on merits and finally disposed of on that date. </w:t>
      </w:r>
    </w:p>
    <w:p w14:paraId="019991B4" w14:textId="77777777" w:rsidR="00806DD4" w:rsidRDefault="00000000">
      <w:r>
        <w:t>Pleadings are complete; it is prayed that the application be decided as it stands, without deferment on any ground. Liberty may be reserved to move a subsequent-facts application.</w:t>
      </w:r>
    </w:p>
    <w:p w14:paraId="48AB75EB" w14:textId="6F06292C" w:rsidR="00CF223A" w:rsidRDefault="00000000">
      <w:r>
        <w:t>Dated this the ______ day of _________________, 2026.</w:t>
      </w:r>
    </w:p>
    <w:p w14:paraId="24EB7AE2" w14:textId="77777777" w:rsidR="005509EA" w:rsidRDefault="005509EA"/>
    <w:p w14:paraId="74D785C5" w14:textId="0C228F98" w:rsidR="00CF223A" w:rsidRDefault="00000000">
      <w:r>
        <w:t>Place: Haripad</w:t>
      </w:r>
      <w:r>
        <w:tab/>
      </w:r>
      <w:r>
        <w:tab/>
      </w:r>
      <w:r>
        <w:tab/>
      </w:r>
      <w:r>
        <w:tab/>
      </w:r>
      <w:r>
        <w:tab/>
      </w:r>
      <w:r>
        <w:tab/>
        <w:t>Counsel for the Plaintiff</w:t>
      </w:r>
    </w:p>
    <w:sectPr w:rsidR="00CF223A" w:rsidSect="009B62AE">
      <w:footerReference w:type="even" r:id="rId8"/>
      <w:footerReference w:type="default" r:id="rId9"/>
      <w:footerReference w:type="first" r:id="rId10"/>
      <w:pgSz w:w="11906" w:h="16838"/>
      <w:pgMar w:top="1800" w:right="1440" w:bottom="1800" w:left="2160" w:header="0" w:footer="36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C6D2" w14:textId="77777777" w:rsidR="00380785" w:rsidRDefault="00380785">
      <w:pPr>
        <w:spacing w:after="0" w:line="240" w:lineRule="auto"/>
      </w:pPr>
      <w:r>
        <w:separator/>
      </w:r>
    </w:p>
  </w:endnote>
  <w:endnote w:type="continuationSeparator" w:id="0">
    <w:p w14:paraId="16EF6939" w14:textId="77777777" w:rsidR="00380785" w:rsidRDefault="0038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715374"/>
      <w:docPartObj>
        <w:docPartGallery w:val="Page Numbers (Bottom of Page)"/>
        <w:docPartUnique/>
      </w:docPartObj>
    </w:sdtPr>
    <w:sdtContent>
      <w:p w14:paraId="300210E0" w14:textId="77777777" w:rsidR="00CF223A" w:rsidRDefault="0000000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5A4E1CA4" w14:textId="77777777" w:rsidR="00CF223A" w:rsidRDefault="00CF22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767863"/>
      <w:docPartObj>
        <w:docPartGallery w:val="Page Numbers (Bottom of Page)"/>
        <w:docPartUnique/>
      </w:docPartObj>
    </w:sdtPr>
    <w:sdtContent>
      <w:p w14:paraId="7FC8E2AA" w14:textId="77777777" w:rsidR="00CF223A" w:rsidRDefault="00000000">
        <w:pPr>
          <w:pStyle w:val="Footer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8AC88F2" w14:textId="77777777" w:rsidR="00CF223A" w:rsidRDefault="00CF22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153391"/>
      <w:docPartObj>
        <w:docPartGallery w:val="Page Numbers (Bottom of Page)"/>
        <w:docPartUnique/>
      </w:docPartObj>
    </w:sdtPr>
    <w:sdtContent>
      <w:p w14:paraId="421C2185" w14:textId="77777777" w:rsidR="00CF223A" w:rsidRDefault="00000000">
        <w:pPr>
          <w:pStyle w:val="Footer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4C3ED424" w14:textId="77777777" w:rsidR="00CF223A" w:rsidRDefault="00CF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B874" w14:textId="77777777" w:rsidR="00380785" w:rsidRDefault="00380785">
      <w:pPr>
        <w:spacing w:after="0" w:line="240" w:lineRule="auto"/>
      </w:pPr>
      <w:r>
        <w:separator/>
      </w:r>
    </w:p>
  </w:footnote>
  <w:footnote w:type="continuationSeparator" w:id="0">
    <w:p w14:paraId="549E5F1C" w14:textId="77777777" w:rsidR="00380785" w:rsidRDefault="00380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0261C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BC6310"/>
    <w:multiLevelType w:val="multilevel"/>
    <w:tmpl w:val="5DBC519E"/>
    <w:lvl w:ilvl="0">
      <w:start w:val="1"/>
      <w:numFmt w:val="bullet"/>
      <w:pStyle w:val="Bulleting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6C1C46"/>
    <w:multiLevelType w:val="hybridMultilevel"/>
    <w:tmpl w:val="4BA466C8"/>
    <w:lvl w:ilvl="0" w:tplc="993862CA">
      <w:start w:val="1"/>
      <w:numFmt w:val="lowerLetter"/>
      <w:pStyle w:val="LetteredListNumb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479"/>
    <w:multiLevelType w:val="multilevel"/>
    <w:tmpl w:val="7C1C9B92"/>
    <w:lvl w:ilvl="0">
      <w:start w:val="1"/>
      <w:numFmt w:val="decimal"/>
      <w:lvlText w:val="%1)"/>
      <w:lvlJc w:val="left"/>
      <w:pPr>
        <w:tabs>
          <w:tab w:val="num" w:pos="0"/>
        </w:tabs>
        <w:ind w:left="547" w:hanging="547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440" w:hanging="36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2C615D0"/>
    <w:multiLevelType w:val="multilevel"/>
    <w:tmpl w:val="26421280"/>
    <w:lvl w:ilvl="0">
      <w:start w:val="1"/>
      <w:numFmt w:val="decimal"/>
      <w:pStyle w:val="ListNumber"/>
      <w:lvlText w:val="%1)"/>
      <w:lvlJc w:val="left"/>
      <w:pPr>
        <w:ind w:left="360" w:hanging="360"/>
      </w:pPr>
    </w:lvl>
    <w:lvl w:ilvl="1">
      <w:start w:val="1"/>
      <w:numFmt w:val="decimal"/>
      <w:pStyle w:val="ListNumber2"/>
      <w:lvlText w:val="%1.%2)"/>
      <w:lvlJc w:val="left"/>
      <w:pPr>
        <w:ind w:left="720" w:hanging="360"/>
      </w:pPr>
    </w:lvl>
    <w:lvl w:ilvl="2">
      <w:start w:val="1"/>
      <w:numFmt w:val="decimal"/>
      <w:pStyle w:val="ListNumber3"/>
      <w:lvlText w:val="%1.%2.%3)"/>
      <w:lvlJc w:val="left"/>
      <w:pPr>
        <w:ind w:left="1080" w:hanging="360"/>
      </w:pPr>
    </w:lvl>
    <w:lvl w:ilvl="3">
      <w:start w:val="1"/>
      <w:numFmt w:val="decimal"/>
      <w:pStyle w:val="ListNumber4"/>
      <w:lvlText w:val="%1.%2.%3.%4)"/>
      <w:lvlJc w:val="left"/>
      <w:pPr>
        <w:ind w:left="1440" w:hanging="360"/>
      </w:pPr>
    </w:lvl>
    <w:lvl w:ilvl="4">
      <w:start w:val="1"/>
      <w:numFmt w:val="decimal"/>
      <w:lvlText w:val="%1.%2.%3.%4.%5)"/>
      <w:lvlJc w:val="left"/>
      <w:pPr>
        <w:ind w:left="1800" w:hanging="360"/>
      </w:pPr>
    </w:lvl>
    <w:lvl w:ilvl="5">
      <w:start w:val="1"/>
      <w:numFmt w:val="decimal"/>
      <w:lvlText w:val="%1.%2.%3.%4.%5.%6)"/>
      <w:lvlJc w:val="left"/>
      <w:pPr>
        <w:ind w:left="2160" w:hanging="360"/>
      </w:pPr>
    </w:lvl>
    <w:lvl w:ilvl="6">
      <w:start w:val="1"/>
      <w:numFmt w:val="decimal"/>
      <w:lvlText w:val="%1.%2.%3.%4.%5.%6.%7)"/>
      <w:lvlJc w:val="left"/>
      <w:pPr>
        <w:ind w:left="2520" w:hanging="360"/>
      </w:pPr>
    </w:lvl>
    <w:lvl w:ilvl="7">
      <w:start w:val="1"/>
      <w:numFmt w:val="decimal"/>
      <w:lvlText w:val="%1.%2.%3.%4.%5.%6.%7.%8)"/>
      <w:lvlJc w:val="left"/>
      <w:pPr>
        <w:ind w:left="2880" w:hanging="360"/>
      </w:pPr>
    </w:lvl>
    <w:lvl w:ilvl="8">
      <w:start w:val="1"/>
      <w:numFmt w:val="decimal"/>
      <w:lvlText w:val="%1.%2.%3.%4.%5.%6.%7.%8.%9)"/>
      <w:lvlJc w:val="left"/>
      <w:pPr>
        <w:ind w:left="3240" w:hanging="360"/>
      </w:pPr>
    </w:lvl>
  </w:abstractNum>
  <w:abstractNum w:abstractNumId="5" w15:restartNumberingAfterBreak="0">
    <w:nsid w:val="35F81891"/>
    <w:multiLevelType w:val="multilevel"/>
    <w:tmpl w:val="30E2A7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E530ED9"/>
    <w:multiLevelType w:val="hybridMultilevel"/>
    <w:tmpl w:val="97D2B960"/>
    <w:lvl w:ilvl="0" w:tplc="18F60DA8">
      <w:start w:val="1"/>
      <w:numFmt w:val="upperLetter"/>
      <w:pStyle w:val="CapitalListNumb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51B318C4"/>
    <w:multiLevelType w:val="hybridMultilevel"/>
    <w:tmpl w:val="9626C0D6"/>
    <w:lvl w:ilvl="0" w:tplc="5478D4BC">
      <w:start w:val="1"/>
      <w:numFmt w:val="lowerRoman"/>
      <w:pStyle w:val="RomanListNumb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90544">
    <w:abstractNumId w:val="1"/>
  </w:num>
  <w:num w:numId="2" w16cid:durableId="1776898736">
    <w:abstractNumId w:val="3"/>
  </w:num>
  <w:num w:numId="3" w16cid:durableId="223951550">
    <w:abstractNumId w:val="5"/>
  </w:num>
  <w:num w:numId="4" w16cid:durableId="601883165">
    <w:abstractNumId w:val="4"/>
  </w:num>
  <w:num w:numId="5" w16cid:durableId="1359818873">
    <w:abstractNumId w:val="4"/>
  </w:num>
  <w:num w:numId="6" w16cid:durableId="1412655412">
    <w:abstractNumId w:val="2"/>
  </w:num>
  <w:num w:numId="7" w16cid:durableId="1337150253">
    <w:abstractNumId w:val="7"/>
  </w:num>
  <w:num w:numId="8" w16cid:durableId="517735932">
    <w:abstractNumId w:val="6"/>
  </w:num>
  <w:num w:numId="9" w16cid:durableId="153932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3A"/>
    <w:rsid w:val="001603D1"/>
    <w:rsid w:val="00380785"/>
    <w:rsid w:val="005509EA"/>
    <w:rsid w:val="00806DD4"/>
    <w:rsid w:val="008152C2"/>
    <w:rsid w:val="009B62AE"/>
    <w:rsid w:val="00AD3CB7"/>
    <w:rsid w:val="00C51BDD"/>
    <w:rsid w:val="00CF223A"/>
    <w:rsid w:val="00D53FC6"/>
    <w:rsid w:val="00DD4BBB"/>
    <w:rsid w:val="00ED07EA"/>
    <w:rsid w:val="00FC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E9E27"/>
  <w15:docId w15:val="{3B973072-FF32-3542-9DDB-9BAA8B39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494E42"/>
    <w:pPr>
      <w:snapToGrid w:val="0"/>
      <w:spacing w:after="180" w:line="276" w:lineRule="auto"/>
      <w:jc w:val="both"/>
    </w:pPr>
    <w:rPr>
      <w:rFonts w:ascii="Cambria" w:hAnsi="Cambria"/>
      <w:spacing w:val="-14"/>
      <w:sz w:val="28"/>
      <w:szCs w:val="28"/>
    </w:rPr>
  </w:style>
  <w:style w:type="paragraph" w:styleId="Heading1">
    <w:name w:val="heading 1"/>
    <w:basedOn w:val="Heading2"/>
    <w:uiPriority w:val="1"/>
    <w:qFormat/>
    <w:rsid w:val="00494E42"/>
    <w:pPr>
      <w:outlineLvl w:val="0"/>
    </w:pPr>
    <w:rPr>
      <w:sz w:val="48"/>
      <w:szCs w:val="48"/>
    </w:rPr>
  </w:style>
  <w:style w:type="paragraph" w:styleId="Heading2">
    <w:name w:val="heading 2"/>
    <w:basedOn w:val="Heading3"/>
    <w:uiPriority w:val="2"/>
    <w:qFormat/>
    <w:rsid w:val="00494E42"/>
    <w:pPr>
      <w:outlineLvl w:val="1"/>
    </w:pPr>
    <w:rPr>
      <w:b w:val="0"/>
      <w:bCs w:val="0"/>
      <w:sz w:val="40"/>
      <w:szCs w:val="40"/>
    </w:rPr>
  </w:style>
  <w:style w:type="paragraph" w:styleId="Heading3">
    <w:name w:val="heading 3"/>
    <w:basedOn w:val="Normal"/>
    <w:uiPriority w:val="3"/>
    <w:qFormat/>
    <w:rsid w:val="00494E42"/>
    <w:pPr>
      <w:spacing w:line="240" w:lineRule="auto"/>
      <w:jc w:val="center"/>
      <w:outlineLvl w:val="2"/>
    </w:pPr>
    <w:rPr>
      <w:rFonts w:ascii="HELVETICA NEUE CONDENSED" w:hAnsi="HELVETICA NEUE CONDENSED"/>
      <w:b/>
      <w:bCs/>
      <w:caps/>
      <w:color w:val="000000" w:themeColor="text1"/>
      <w:sz w:val="32"/>
      <w:szCs w:val="32"/>
    </w:rPr>
  </w:style>
  <w:style w:type="paragraph" w:styleId="Heading4">
    <w:name w:val="heading 4"/>
    <w:basedOn w:val="Heading3"/>
    <w:uiPriority w:val="4"/>
    <w:qFormat/>
    <w:rsid w:val="00494E42"/>
    <w:pPr>
      <w:jc w:val="left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Gap">
    <w:name w:val="No Gap"/>
    <w:basedOn w:val="Normal"/>
    <w:uiPriority w:val="13"/>
    <w:qFormat/>
    <w:rsid w:val="00494E42"/>
    <w:pPr>
      <w:spacing w:after="0" w:line="240" w:lineRule="auto"/>
    </w:pPr>
  </w:style>
  <w:style w:type="paragraph" w:customStyle="1" w:styleId="Bulleting">
    <w:name w:val="Bulleting"/>
    <w:basedOn w:val="Normal"/>
    <w:uiPriority w:val="12"/>
    <w:qFormat/>
    <w:rsid w:val="00494E42"/>
    <w:pPr>
      <w:numPr>
        <w:numId w:val="1"/>
      </w:numPr>
      <w:tabs>
        <w:tab w:val="clear" w:pos="0"/>
      </w:tabs>
      <w:ind w:left="540" w:hanging="540"/>
    </w:pPr>
  </w:style>
  <w:style w:type="paragraph" w:styleId="ListNumber">
    <w:name w:val="List Number"/>
    <w:basedOn w:val="Normal"/>
    <w:uiPriority w:val="6"/>
    <w:qFormat/>
    <w:rsid w:val="008637DC"/>
    <w:pPr>
      <w:numPr>
        <w:numId w:val="5"/>
      </w:numPr>
      <w:ind w:left="540" w:hanging="540"/>
    </w:pPr>
  </w:style>
  <w:style w:type="paragraph" w:styleId="ListNumber2">
    <w:name w:val="List Number 2"/>
    <w:basedOn w:val="Normal"/>
    <w:uiPriority w:val="7"/>
    <w:qFormat/>
    <w:rsid w:val="008637DC"/>
    <w:pPr>
      <w:numPr>
        <w:ilvl w:val="1"/>
        <w:numId w:val="5"/>
      </w:numPr>
      <w:ind w:left="1080" w:hanging="540"/>
    </w:pPr>
  </w:style>
  <w:style w:type="paragraph" w:styleId="ListNumber3">
    <w:name w:val="List Number 3"/>
    <w:basedOn w:val="Normal"/>
    <w:uiPriority w:val="8"/>
    <w:qFormat/>
    <w:rsid w:val="008637DC"/>
    <w:pPr>
      <w:numPr>
        <w:ilvl w:val="2"/>
        <w:numId w:val="5"/>
      </w:numPr>
      <w:ind w:left="1800" w:hanging="720"/>
    </w:pPr>
  </w:style>
  <w:style w:type="paragraph" w:styleId="ListNumber4">
    <w:name w:val="List Number 4"/>
    <w:basedOn w:val="Normal"/>
    <w:uiPriority w:val="9"/>
    <w:qFormat/>
    <w:rsid w:val="008637DC"/>
    <w:pPr>
      <w:numPr>
        <w:ilvl w:val="3"/>
        <w:numId w:val="5"/>
      </w:numPr>
      <w:ind w:left="2700" w:hanging="900"/>
    </w:pPr>
  </w:style>
  <w:style w:type="paragraph" w:customStyle="1" w:styleId="LetteredListNumber">
    <w:name w:val="Lettered List Number"/>
    <w:basedOn w:val="ListNumber"/>
    <w:uiPriority w:val="10"/>
    <w:qFormat/>
    <w:rsid w:val="007A766F"/>
    <w:pPr>
      <w:numPr>
        <w:numId w:val="6"/>
      </w:numPr>
      <w:ind w:left="360"/>
    </w:pPr>
  </w:style>
  <w:style w:type="paragraph" w:customStyle="1" w:styleId="RomanListNumber">
    <w:name w:val="Roman List Number"/>
    <w:basedOn w:val="LetteredListNumber"/>
    <w:uiPriority w:val="11"/>
    <w:qFormat/>
    <w:rsid w:val="000A7D64"/>
    <w:pPr>
      <w:numPr>
        <w:numId w:val="7"/>
      </w:numPr>
      <w:ind w:left="360"/>
    </w:pPr>
  </w:style>
  <w:style w:type="paragraph" w:customStyle="1" w:styleId="Table">
    <w:name w:val="Table"/>
    <w:basedOn w:val="NoGap"/>
    <w:uiPriority w:val="14"/>
    <w:qFormat/>
    <w:rsid w:val="000966F6"/>
    <w:pPr>
      <w:jc w:val="left"/>
    </w:pPr>
  </w:style>
  <w:style w:type="paragraph" w:styleId="Footer">
    <w:name w:val="footer"/>
    <w:basedOn w:val="Normal"/>
    <w:link w:val="FooterChar"/>
    <w:uiPriority w:val="15"/>
    <w:unhideWhenUsed/>
    <w:rsid w:val="008A5BE7"/>
    <w:pPr>
      <w:tabs>
        <w:tab w:val="center" w:pos="4680"/>
        <w:tab w:val="right" w:pos="9360"/>
      </w:tabs>
      <w:spacing w:after="0" w:line="240" w:lineRule="auto"/>
      <w:jc w:val="center"/>
    </w:p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17"/>
    <w:qFormat/>
    <w:rsid w:val="002F3658"/>
    <w:rPr>
      <w:b/>
      <w:bCs/>
    </w:rPr>
  </w:style>
  <w:style w:type="character" w:styleId="Emphasis">
    <w:name w:val="Emphasis"/>
    <w:basedOn w:val="DefaultParagraphFont"/>
    <w:uiPriority w:val="16"/>
    <w:qFormat/>
    <w:rsid w:val="002F3658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A5BE7"/>
    <w:rPr>
      <w:rFonts w:ascii="Cambria" w:hAnsi="Cambria"/>
      <w:spacing w:val="-14"/>
      <w:sz w:val="26"/>
    </w:rPr>
  </w:style>
  <w:style w:type="character" w:styleId="PageNumber">
    <w:name w:val="page number"/>
    <w:basedOn w:val="DefaultParagraphFont"/>
    <w:uiPriority w:val="99"/>
    <w:semiHidden/>
    <w:unhideWhenUsed/>
    <w:rsid w:val="00ED3635"/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B3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qFormat/>
    <w:rsid w:val="00361621"/>
  </w:style>
  <w:style w:type="numbering" w:customStyle="1" w:styleId="CurrentList2">
    <w:name w:val="Current List2"/>
    <w:uiPriority w:val="99"/>
    <w:qFormat/>
    <w:rsid w:val="00361621"/>
  </w:style>
  <w:style w:type="paragraph" w:customStyle="1" w:styleId="CapitalListNumber">
    <w:name w:val="Capital List Number"/>
    <w:basedOn w:val="RomanListNumber"/>
    <w:uiPriority w:val="5"/>
    <w:qFormat/>
    <w:rsid w:val="008637DC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D5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FC6"/>
    <w:rPr>
      <w:rFonts w:ascii="Cambria" w:hAnsi="Cambria"/>
      <w:spacing w:val="-14"/>
      <w:sz w:val="28"/>
      <w:szCs w:val="28"/>
    </w:rPr>
  </w:style>
  <w:style w:type="paragraph" w:styleId="ListParagraph">
    <w:name w:val="List Paragraph"/>
    <w:basedOn w:val="Normal"/>
    <w:uiPriority w:val="34"/>
    <w:qFormat/>
    <w:rsid w:val="00D53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6F0192-D17E-E947-AA04-64E0E8616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dc:description/>
  <cp:lastModifiedBy>Anoop Madhavan</cp:lastModifiedBy>
  <cp:revision>2</cp:revision>
  <dcterms:created xsi:type="dcterms:W3CDTF">2026-06-28T12:15:00Z</dcterms:created>
  <dcterms:modified xsi:type="dcterms:W3CDTF">2026-07-03T00:30:00Z</dcterms:modified>
  <dc:language>en-US</dc:language>
</cp:coreProperties>
</file>