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etteredListNumber"/>
      </w:pPr>
      <w:r>
        <w:rPr>
          <w:b/>
          <w:bCs/>
          <w:i/>
          <w:iCs/>
        </w:rPr>
        <w:t xml:space="preserve">“Not a beneficiary”</w:t>
      </w:r>
      <w:r>
        <w:rPr>
          <w:b/>
          <w:bCs/>
        </w:rPr>
        <w:t xml:space="preserve">, yet they moved to terminate that status</w:t>
      </w:r>
      <w:r>
        <w:t xml:space="preserve"> — Objections, para 8: </w:t>
      </w:r>
      <w:r>
        <w:rPr>
          <w:i/>
          <w:iCs/>
        </w:rPr>
        <w:t xml:space="preserve">“The plaintiff is not a beneficiary of Alummoottil Tharavad trust”</w:t>
      </w:r>
      <w:r>
        <w:t xml:space="preserve"> ... Minutes, 24.01.2026, item 6, p. 20: </w:t>
      </w:r>
      <w:r>
        <w:rPr>
          <w:i/>
          <w:iCs/>
        </w:rPr>
        <w:t xml:space="preserve">“...terminated from the beneficiary status through legal means”</w:t>
      </w:r>
      <w:r>
        <w:t xml:space="preserve"> — a status cannot require legal termination unless it presently exists ... DFO letter submitted by D2, 18.11.2025, likewise: </w:t>
      </w:r>
      <w:r>
        <w:rPr>
          <w:i/>
          <w:iCs/>
        </w:rPr>
        <w:t xml:space="preserve">“Anoop Madhavan, Beneficiary.”</w:t>
      </w:r>
    </w:p>
    <w:p>
      <w:pPr>
        <w:pStyle w:val="LetteredListNumber"/>
      </w:pPr>
      <w:r>
        <w:rPr>
          <w:b/>
          <w:bCs/>
        </w:rPr>
        <w:t xml:space="preserve">22 records in their own Minutes, yet everything has been produced</w:t>
      </w:r>
      <w:r>
        <w:t xml:space="preserve"> — documents their Minutes expressly identify — (i) MOA: </w:t>
      </w:r>
      <w:r>
        <w:rPr>
          <w:i/>
          <w:iCs/>
        </w:rPr>
        <w:t xml:space="preserve">“MOA was signed with them”</w:t>
      </w:r>
      <w:r>
        <w:t xml:space="preserve"> (item 1, p. 16); (ii)–(vi) agreements (b)–(f) [(a), the Meda lease, produced 18.05.2026]; (vii) contractor’s estimate: </w:t>
      </w:r>
      <w:r>
        <w:rPr>
          <w:i/>
          <w:iCs/>
        </w:rPr>
        <w:t xml:space="preserve">“by e-mail on 20/8/2025”</w:t>
      </w:r>
      <w:r>
        <w:t xml:space="preserve"> (₹73,25,000; item 2, pp. 17–18); (viii) </w:t>
      </w:r>
      <w:r>
        <w:rPr>
          <w:i/>
          <w:iCs/>
        </w:rPr>
        <w:t xml:space="preserve">“EMI and payment plan”</w:t>
      </w:r>
      <w:r>
        <w:t xml:space="preserve">; (ix) inventory: </w:t>
      </w:r>
      <w:r>
        <w:rPr>
          <w:i/>
          <w:iCs/>
        </w:rPr>
        <w:t xml:space="preserve">“Inventorying the furniture and antique items ... kept as records”</w:t>
      </w:r>
      <w:r>
        <w:t xml:space="preserve"> (item 5, p. 20); (x) Faisal engagement: </w:t>
      </w:r>
      <w:r>
        <w:rPr>
          <w:i/>
          <w:iCs/>
        </w:rPr>
        <w:t xml:space="preserve">“entrusted to Faisal Kreative Academy, Rs. 2.1 Lac”</w:t>
      </w:r>
      <w:r>
        <w:t xml:space="preserve"> (item 6, p. 21); (xi) auditor’s engagement: </w:t>
      </w:r>
      <w:r>
        <w:rPr>
          <w:i/>
          <w:iCs/>
        </w:rPr>
        <w:t xml:space="preserve">“Rajeev Pai, S.R. Pai &amp; Co.”</w:t>
      </w:r>
      <w:r>
        <w:t xml:space="preserve"> (item 3, p. 18 &amp; 06.02.2024, p. 12). Record categories their Minutes disclose — (xii) proposals of the three operators (</w:t>
      </w:r>
      <w:r>
        <w:rPr>
          <w:i/>
          <w:iCs/>
        </w:rPr>
        <w:t xml:space="preserve">“IMPERENCE ... SREEMOOLAVASAM ... LEZBLDOR”</w:t>
      </w:r>
      <w:r>
        <w:t xml:space="preserve">, judged on </w:t>
      </w:r>
      <w:r>
        <w:rPr>
          <w:i/>
          <w:iCs/>
        </w:rPr>
        <w:t xml:space="preserve">“bid amount”</w:t>
      </w:r>
      <w:r>
        <w:t xml:space="preserve">); (xiii) operator communications; (xiv) comparison of terms: </w:t>
      </w:r>
      <w:r>
        <w:rPr>
          <w:i/>
          <w:iCs/>
        </w:rPr>
        <w:t xml:space="preserve">“more beneficial in terms and conditions”</w:t>
      </w:r>
      <w:r>
        <w:t xml:space="preserve">; (xv) negotiation records: </w:t>
      </w:r>
      <w:r>
        <w:rPr>
          <w:i/>
          <w:iCs/>
        </w:rPr>
        <w:t xml:space="preserve">“detailed deliberation and negotiation”</w:t>
      </w:r>
      <w:r>
        <w:t xml:space="preserve">; (xvi) legal vetting: </w:t>
      </w:r>
      <w:r>
        <w:rPr>
          <w:i/>
          <w:iCs/>
        </w:rPr>
        <w:t xml:space="preserve">“consulting with the lawyer”</w:t>
      </w:r>
      <w:r>
        <w:t xml:space="preserve"> (mandated by Resolution 21.08.2025, cl. 3); (xvii) CA’s advice: </w:t>
      </w:r>
      <w:r>
        <w:rPr>
          <w:i/>
          <w:iCs/>
        </w:rPr>
        <w:t xml:space="preserve">“and chartered accountant”</w:t>
      </w:r>
      <w:r>
        <w:t xml:space="preserve">; (xviii) audit working papers; (xix) construction-account records (g); (xx) personal-account statements (j); (xxi) contractor payment records (k); (xxii) O.S. 243/2024 authorisation (n) — for each, D2 must produce the record or state on oath that none was created, whether it was formerly held, what became of it and who presently holds it.</w:t>
      </w:r>
    </w:p>
    <w:p>
      <w:pPr>
        <w:pStyle w:val="LetteredListNumber"/>
      </w:pPr>
      <w:r>
        <w:rPr>
          <w:b/>
          <w:bCs/>
        </w:rPr>
        <w:t xml:space="preserve">Three operators weighed, yet zero paper trail</w:t>
      </w:r>
      <w:r>
        <w:t xml:space="preserve"> — Resolution, 21.08.2025, cl. 1: </w:t>
      </w:r>
      <w:r>
        <w:rPr>
          <w:i/>
          <w:iCs/>
        </w:rPr>
        <w:t xml:space="preserve">“negotiate with at least 3 such operators ... and to select any one among them”</w:t>
      </w:r>
      <w:r>
        <w:t xml:space="preserve"> ... Minutes, item 1, p. 16: three named (b: vii–ix) — demand all written, electronic or recorded proposals, quotations, communications, comparative statements and negotiation records concerning the three.</w:t>
      </w:r>
    </w:p>
    <w:p>
      <w:pPr>
        <w:pStyle w:val="LetteredListNumber"/>
      </w:pPr>
      <w:r>
        <w:rPr>
          <w:b/>
          <w:bCs/>
          <w:i/>
          <w:iCs/>
        </w:rPr>
        <w:t xml:space="preserve">“Nothing concealed”</w:t>
      </w:r>
      <w:r>
        <w:rPr>
          <w:b/>
          <w:bCs/>
        </w:rPr>
        <w:t xml:space="preserve">, yet produced 10 weeks later</w:t>
      </w:r>
      <w:r>
        <w:t xml:space="preserve"> — D2’s Affidavit, 16.02.2026, paras 13–14: </w:t>
      </w:r>
      <w:r>
        <w:rPr>
          <w:i/>
          <w:iCs/>
        </w:rPr>
        <w:t xml:space="preserve">“not available for production ... no part of it is false ... nothing material has been concealed”</w:t>
      </w:r>
      <w:r>
        <w:t xml:space="preserve"> ... IA 7/2026, 18.05.2026, para 3: </w:t>
      </w:r>
      <w:r>
        <w:rPr>
          <w:i/>
          <w:iCs/>
        </w:rPr>
        <w:t xml:space="preserve">“...the Original Minutes Book ... have been produced.”</w:t>
      </w:r>
    </w:p>
    <w:p>
      <w:pPr>
        <w:pStyle w:val="LetteredListNumber"/>
      </w:pPr>
      <w:r>
        <w:rPr>
          <w:b/>
          <w:bCs/>
        </w:rPr>
        <w:t xml:space="preserve">Bound to account since 2007, yet not one book</w:t>
      </w:r>
      <w:r>
        <w:t xml:space="preserve"> — Deed 2/IV/2007, cl. 2: </w:t>
      </w:r>
      <w:r>
        <w:rPr>
          <w:i/>
          <w:iCs/>
        </w:rPr>
        <w:t xml:space="preserve">“The Managing Trustee also bound to maintain all records and accounts of the trust”</w:t>
      </w:r>
      <w:r>
        <w:t xml:space="preserve"> ... Minutes, 12.02.2020, p. 4, res. 4: </w:t>
      </w:r>
      <w:r>
        <w:rPr>
          <w:i/>
          <w:iCs/>
        </w:rPr>
        <w:t xml:space="preserve">“Managing Trustee shall maintain the books of Accounts ... as and when any amount is received and spent”</w:t>
      </w:r>
      <w:r>
        <w:t xml:space="preserve"> ... Affidavit, para 5: </w:t>
      </w:r>
      <w:r>
        <w:rPr>
          <w:i/>
          <w:iCs/>
        </w:rPr>
        <w:t xml:space="preserve">“no books of account were maintained.”</w:t>
      </w:r>
    </w:p>
    <w:p>
      <w:pPr>
        <w:pStyle w:val="LetteredListNumber"/>
      </w:pPr>
      <w:r>
        <w:rPr>
          <w:b/>
          <w:bCs/>
        </w:rPr>
        <w:t xml:space="preserve">The Deed binds D2, yet he points at Sivadasan</w:t>
      </w:r>
      <w:r>
        <w:t xml:space="preserve"> — Objections, para 5: </w:t>
      </w:r>
      <w:r>
        <w:rPr>
          <w:i/>
          <w:iCs/>
        </w:rPr>
        <w:t xml:space="preserve">“trustee Sivadasan Channar”</w:t>
      </w:r>
      <w:r>
        <w:t xml:space="preserve"> ... O.S. 243/2024, plaint, para 3: </w:t>
      </w:r>
      <w:r>
        <w:rPr>
          <w:i/>
          <w:iCs/>
        </w:rPr>
        <w:t xml:space="preserve">“renovation works ... at the auspices of the plaintiff trust”</w:t>
      </w:r>
      <w:r>
        <w:t xml:space="preserve"> ... Deed 2/IV/2007, cl. 2 (e above).</w:t>
      </w:r>
    </w:p>
    <w:p>
      <w:pPr>
        <w:pStyle w:val="LetteredListNumber"/>
      </w:pPr>
      <w:r>
        <w:rPr>
          <w:b/>
          <w:bCs/>
        </w:rPr>
        <w:t xml:space="preserve">An earlier account admitted, yet never disclosed</w:t>
      </w:r>
      <w:r>
        <w:t xml:space="preserve"> — Minutes, 12.01.2024, p. 11: </w:t>
      </w:r>
      <w:r>
        <w:rPr>
          <w:i/>
          <w:iCs/>
        </w:rPr>
        <w:t xml:space="preserve">“The Managing Trustee Ramesh Chandran also informed about 1 crore rupees ... transferred it to the construction account”</w:t>
      </w:r>
      <w:r>
        <w:t xml:space="preserve"> ... Affidavit, para 8: Federal Bank opened </w:t>
      </w:r>
      <w:r>
        <w:rPr>
          <w:i/>
          <w:iCs/>
        </w:rPr>
        <w:t xml:space="preserve">“on.26/05/2025”</w:t>
      </w:r>
      <w:r>
        <w:t xml:space="preserve"> ... Minutes, item 4, p. 19: </w:t>
      </w:r>
      <w:r>
        <w:rPr>
          <w:i/>
          <w:iCs/>
        </w:rPr>
        <w:t xml:space="preserve">“Construction Trust account - Rs 2,16,000”</w:t>
      </w:r>
      <w:r>
        <w:t xml:space="preserve"> — whose account, which bank, where are the statements?</w:t>
      </w:r>
    </w:p>
    <w:p>
      <w:pPr>
        <w:pStyle w:val="LetteredListNumber"/>
      </w:pPr>
      <w:r>
        <w:rPr>
          <w:b/>
          <w:bCs/>
          <w:i/>
          <w:iCs/>
        </w:rPr>
        <w:t xml:space="preserve">“Dormant”</w:t>
      </w:r>
      <w:r>
        <w:rPr>
          <w:b/>
          <w:bCs/>
        </w:rPr>
        <w:t xml:space="preserve"> on oath, yet ₹1 crore moved in January 2024</w:t>
      </w:r>
      <w:r>
        <w:t xml:space="preserve"> — Affidavit, para 6: </w:t>
      </w:r>
      <w:r>
        <w:rPr>
          <w:i/>
          <w:iCs/>
        </w:rPr>
        <w:t xml:space="preserve">“operated as a dormant entity”</w:t>
      </w:r>
      <w:r>
        <w:t xml:space="preserve"> (2007–2024) ... Minutes, 12.01.2024, p. 11: </w:t>
      </w:r>
      <w:r>
        <w:rPr>
          <w:i/>
          <w:iCs/>
        </w:rPr>
        <w:t xml:space="preserve">“All structural works of Meda and Pathayappura (Nelpura) are over. Now the work of Nalukettu is progressing well”</w:t>
      </w:r>
      <w:r>
        <w:t xml:space="preserve"> ... </w:t>
      </w:r>
      <w:r>
        <w:rPr>
          <w:i/>
          <w:iCs/>
        </w:rPr>
        <w:t xml:space="preserve">“1 crore rupees ... transferred it to the construction account. This amount has to be repaid to him ... or from the finalized source of the trust”</w:t>
      </w:r>
      <w:r>
        <w:t xml:space="preserve"> — even if privately funded, the account, transfer, payer, recipient and resulting Trust liability must be identified on oath (works pleaded as the Trust’s: f above).</w:t>
      </w:r>
    </w:p>
    <w:p>
      <w:pPr>
        <w:pStyle w:val="LetteredListNumber"/>
      </w:pPr>
      <w:r>
        <w:rPr>
          <w:b/>
          <w:bCs/>
        </w:rPr>
        <w:t xml:space="preserve">₹3.28 crore claimed, yet zero transactions shown</w:t>
      </w:r>
      <w:r>
        <w:t xml:space="preserve"> — Objections, para 4: </w:t>
      </w:r>
      <w:r>
        <w:rPr>
          <w:i/>
          <w:iCs/>
        </w:rPr>
        <w:t xml:space="preserve">“not received any income, fund, donation ... from any source what-so-ever”</w:t>
      </w:r>
      <w:r>
        <w:t xml:space="preserve"> ... Minutes, item 4, p. 19: </w:t>
      </w:r>
      <w:r>
        <w:rPr>
          <w:i/>
          <w:iCs/>
        </w:rPr>
        <w:t xml:space="preserve">“Mr. Sivadasan Channar - Rs 8,76,997.00 ... Dr. Ravindran Channar - Rs 1,00,00,000 ... Dr. Manoj Ravi - Rs 67,00,000 ... Mrs. Gita C.K. - Rs 54,00,000 ... Mr. Bimal R. Madhavan - Rs 8,00,000 ... Mr. Rameshchandran Channar - Rs 90,00,000”</w:t>
      </w:r>
      <w:r>
        <w:t xml:space="preserve"> — ≈ ₹3.28 crore recorded </w:t>
      </w:r>
      <w:r>
        <w:rPr>
          <w:i/>
          <w:iCs/>
        </w:rPr>
        <w:t xml:space="preserve">“till date”</w:t>
      </w:r>
      <w:r>
        <w:t xml:space="preserve"> as construction-linked funding and a basis for repayment from Trust income (q below); contributor-wise date, source account, recipient account, instrument and reconciliation undisclosed. They cannot burden the Trust with the aggregate while withholding every transaction beneath it.</w:t>
      </w:r>
    </w:p>
    <w:p>
      <w:pPr>
        <w:pStyle w:val="LetteredListNumber"/>
      </w:pPr>
      <w:r>
        <w:rPr>
          <w:b/>
          <w:bCs/>
        </w:rPr>
        <w:t xml:space="preserve">₹1 crore undated, yet the payer died in 2022</w:t>
      </w:r>
      <w:r>
        <w:t xml:space="preserve"> — Minutes, item 4, p. 19 (heading: </w:t>
      </w:r>
      <w:r>
        <w:rPr>
          <w:i/>
          <w:iCs/>
        </w:rPr>
        <w:t xml:space="preserve">“...to Sivadasan Channar’s personal account”</w:t>
      </w:r>
      <w:r>
        <w:t xml:space="preserve">): </w:t>
      </w:r>
      <w:r>
        <w:rPr>
          <w:i/>
          <w:iCs/>
        </w:rPr>
        <w:t xml:space="preserve">“Dr. Ravindran Channar - Rs 1,00,00,000”</w:t>
      </w:r>
      <w:r>
        <w:t xml:space="preserve"> ... Minutes, 10.11.2022, p. 5: </w:t>
      </w:r>
      <w:r>
        <w:rPr>
          <w:i/>
          <w:iCs/>
        </w:rPr>
        <w:t xml:space="preserve">“passed away on 27/8/2022”</w:t>
      </w:r>
      <w:r>
        <w:t xml:space="preserve"> — the transfer date, instrument, source, recipient account and the person presently entitled to repayment have never been disclosed.</w:t>
      </w:r>
    </w:p>
    <w:p>
      <w:pPr>
        <w:pStyle w:val="LetteredListNumber"/>
      </w:pPr>
      <w:r>
        <w:rPr>
          <w:b/>
          <w:bCs/>
        </w:rPr>
        <w:t xml:space="preserve">Estimate, EMI plan, </w:t>
      </w:r>
      <w:r>
        <w:rPr>
          <w:b/>
          <w:bCs/>
          <w:i/>
          <w:iCs/>
        </w:rPr>
        <w:t xml:space="preserve">“Govt tax”</w:t>
      </w:r>
      <w:r>
        <w:rPr>
          <w:b/>
          <w:bCs/>
        </w:rPr>
        <w:t xml:space="preserve">, yet not one record produced</w:t>
      </w:r>
      <w:r>
        <w:t xml:space="preserve"> — Affidavit, para 7(b): </w:t>
      </w:r>
      <w:r>
        <w:rPr>
          <w:i/>
          <w:iCs/>
        </w:rPr>
        <w:t xml:space="preserve">“electricity charges, Govt tax, fees etc.”</w:t>
      </w:r>
      <w:r>
        <w:t xml:space="preserve"> ... Minutes, item 2, pp. 17–18: </w:t>
      </w:r>
      <w:r>
        <w:rPr>
          <w:i/>
          <w:iCs/>
        </w:rPr>
        <w:t xml:space="preserve">“Rs 73,25,000/- is required as per the estimate of the contractor which was sent ... by e-mail on 20/8/2025”</w:t>
      </w:r>
      <w:r>
        <w:t xml:space="preserve"> ... </w:t>
      </w:r>
      <w:r>
        <w:rPr>
          <w:i/>
          <w:iCs/>
        </w:rPr>
        <w:t xml:space="preserve">“EMI and payment plan”</w:t>
      </w:r>
      <w:r>
        <w:t xml:space="preserve"> ... ₹45,00,000 contractor financing — produce the identified records; for any no longer held, Form No. 5 (Appendix C, CPC) requires stating what became of them and who holds them now.</w:t>
      </w:r>
    </w:p>
    <w:p>
      <w:pPr>
        <w:pStyle w:val="LetteredListNumber"/>
      </w:pPr>
      <w:r>
        <w:rPr>
          <w:b/>
          <w:bCs/>
        </w:rPr>
        <w:t xml:space="preserve">₹93.86L repayment voted, yet not one voucher</w:t>
      </w:r>
      <w:r>
        <w:t xml:space="preserve"> — Minutes, item 4, p. 19: </w:t>
      </w:r>
      <w:r>
        <w:rPr>
          <w:i/>
          <w:iCs/>
        </w:rPr>
        <w:t xml:space="preserve">“Resolved to pay back the amounts spent by Rameshchandran Channar ... Rs 93,86,000/- ... from the Trust account”</w:t>
      </w:r>
      <w:r>
        <w:t xml:space="preserve"> ... ITA s. 32: </w:t>
      </w:r>
      <w:r>
        <w:rPr>
          <w:i/>
          <w:iCs/>
        </w:rPr>
        <w:t xml:space="preserve">“expenses properly incurred”</w:t>
      </w:r>
      <w:r>
        <w:t xml:space="preserve"> ... s. 51.</w:t>
      </w:r>
    </w:p>
    <w:p>
      <w:pPr>
        <w:pStyle w:val="LetteredListNumber"/>
      </w:pPr>
      <w:r>
        <w:rPr>
          <w:b/>
          <w:bCs/>
        </w:rPr>
        <w:t xml:space="preserve">Eight funding entries, yet nothing reconciled</w:t>
      </w:r>
      <w:r>
        <w:t xml:space="preserve"> — six member entries ≈ ₹3.28 crore (i above); the </w:t>
      </w:r>
      <w:r>
        <w:rPr>
          <w:i/>
          <w:iCs/>
        </w:rPr>
        <w:t xml:space="preserve">“Construction Trust account”</w:t>
      </w:r>
      <w:r>
        <w:t xml:space="preserve"> ₹2,16,000; the contractor’s ₹45,00,000 loan (Minutes, item 2, p. 18) — an unreconciled aggregate: the transaction-wise trail (date, payer, recipient account, purpose, voucher, present claimant) is undisclosed.</w:t>
      </w:r>
    </w:p>
    <w:p>
      <w:pPr>
        <w:pStyle w:val="LetteredListNumber"/>
      </w:pPr>
      <w:r>
        <w:rPr>
          <w:b/>
          <w:bCs/>
          <w:i/>
          <w:iCs/>
        </w:rPr>
        <w:t xml:space="preserve">“No books”</w:t>
      </w:r>
      <w:r>
        <w:rPr>
          <w:b/>
          <w:bCs/>
        </w:rPr>
        <w:t xml:space="preserve">, yet litigation fees on the books</w:t>
      </w:r>
      <w:r>
        <w:t xml:space="preserve"> — Minutes, item 4, p. 19: </w:t>
      </w:r>
      <w:r>
        <w:rPr>
          <w:i/>
          <w:iCs/>
        </w:rPr>
        <w:t xml:space="preserve">“Advocate fee (High Court, Munsiff Court) - Rs 1,42,000”</w:t>
      </w:r>
      <w:r>
        <w:t xml:space="preserve"> ... Affidavit, para 5: </w:t>
      </w:r>
      <w:r>
        <w:rPr>
          <w:i/>
          <w:iCs/>
        </w:rPr>
        <w:t xml:space="preserve">“no books of account were maintained”</w:t>
      </w:r>
      <w:r>
        <w:t xml:space="preserve"> — matter, payee, invoice, payment date, paying account and accounting entry undisclosed; whether the demanded O.S. 243/2024 authorisation (IA 5/2025, prayer (g)) exists must be stated on oath.</w:t>
      </w:r>
    </w:p>
    <w:p>
      <w:pPr>
        <w:pStyle w:val="LetteredListNumber"/>
      </w:pPr>
      <w:r>
        <w:rPr>
          <w:b/>
          <w:bCs/>
        </w:rPr>
        <w:t xml:space="preserve">Refused, sworn unavailable, yet the Minutes surfaced</w:t>
      </w:r>
      <w:r>
        <w:t xml:space="preserve"> — IA 5/2025, para 11: demands of 03-10-2024 and 28-10-2024 </w:t>
      </w:r>
      <w:r>
        <w:rPr>
          <w:i/>
          <w:iCs/>
        </w:rPr>
        <w:t xml:space="preserve">“ignored”</w:t>
      </w:r>
      <w:r>
        <w:t xml:space="preserve">, 05-12-2024 </w:t>
      </w:r>
      <w:r>
        <w:rPr>
          <w:i/>
          <w:iCs/>
        </w:rPr>
        <w:t xml:space="preserve">“refused to accept”</w:t>
      </w:r>
      <w:r>
        <w:t xml:space="preserve"> ... 16.02.2026, sworn: </w:t>
      </w:r>
      <w:r>
        <w:rPr>
          <w:i/>
          <w:iCs/>
        </w:rPr>
        <w:t xml:space="preserve">“not available ... nothing material has been concealed”</w:t>
      </w:r>
      <w:r>
        <w:t xml:space="preserve"> ... 18.05.2026: the Minutes Book produced — and it identifies further unproduced records (b above) — voluntary disclosure has repeatedly proved incomplete; discovery on oath is necessary (O. XI R. 12). That answers </w:t>
      </w:r>
      <w:r>
        <w:rPr>
          <w:i/>
          <w:iCs/>
        </w:rPr>
        <w:t xml:space="preserve">“experimental”</w:t>
      </w:r>
      <w:r>
        <w:t xml:space="preserve">.</w:t>
      </w:r>
    </w:p>
    <w:p>
      <w:pPr>
        <w:pStyle w:val="LetteredListNumber"/>
      </w:pPr>
      <w:r>
        <w:rPr>
          <w:b/>
          <w:bCs/>
        </w:rPr>
        <w:t xml:space="preserve">Age excuses nothing, yet still no oath on what exists</w:t>
      </w:r>
      <w:r>
        <w:t xml:space="preserve"> — O. XI R. 12, tracking Form No. 5 (Appendix C, CPC): for every category, state whether the records are presently in his possession or power; were formerly held — and when, and what became of them; are now held by an identified person; or were never possessed ... Limitation Act, 1963, s. 10: an account of trust property is </w:t>
      </w:r>
      <w:r>
        <w:rPr>
          <w:i/>
          <w:iCs/>
        </w:rPr>
        <w:t xml:space="preserve">“barred by any length of time”</w:t>
      </w:r>
      <w:r>
        <w:t xml:space="preserve"> — never.</w:t>
      </w:r>
    </w:p>
    <w:p>
      <w:pPr>
        <w:pStyle w:val="LetteredListNumber"/>
      </w:pPr>
      <w:r>
        <w:rPr>
          <w:b/>
          <w:bCs/>
        </w:rPr>
        <w:t xml:space="preserve">Quantified to the rupee, yet no books behind them</w:t>
      </w:r>
      <w:r>
        <w:t xml:space="preserve"> — Minutes, item 2, p. 18: rent committed to repay ₹45,00,000 with 7% interest ... item 4, p. 19: ₹1,01,86,000 </w:t>
      </w:r>
      <w:r>
        <w:rPr>
          <w:i/>
          <w:iCs/>
        </w:rPr>
        <w:t xml:space="preserve">“from the Trust account (Rental and profit share ... phased manner)”</w:t>
      </w:r>
      <w:r>
        <w:t xml:space="preserve"> ... Affidavit, para 5: </w:t>
      </w:r>
      <w:r>
        <w:rPr>
          <w:i/>
          <w:iCs/>
        </w:rPr>
        <w:t xml:space="preserve">“no books of account were maintained”</w:t>
      </w:r>
      <w:r>
        <w:t xml:space="preserve"> — each proposed creditor, principal, payment date, source, supporting voucher and balance claimed must be disclosed on oath.</w:t>
      </w:r>
    </w:p>
    <w:p>
      <w:pPr>
        <w:pStyle w:val="LetteredListNumber"/>
      </w:pPr>
      <w:r>
        <w:rPr>
          <w:b/>
          <w:bCs/>
        </w:rPr>
        <w:t xml:space="preserve">Their own ₹11.99-crore figure, yet no account to test it</w:t>
      </w:r>
      <w:r>
        <w:t xml:space="preserve"> — Minutes, item 4, p. 19: </w:t>
      </w:r>
      <w:r>
        <w:rPr>
          <w:i/>
          <w:iCs/>
        </w:rPr>
        <w:t xml:space="preserve">“Amount spent till date for construction and renovation is Rs 11,45,85,900/- and for purchasing land Rs 54,00,000/-”</w:t>
      </w:r>
      <w:r>
        <w:t xml:space="preserve"> — expenditure of that admitted magnitude cannot be examined without accounts and vouchers.</w:t>
      </w:r>
    </w:p>
    <w:p>
      <w:pPr>
        <w:pStyle w:val="LetteredListNumber"/>
      </w:pPr>
      <w:r>
        <w:rPr>
          <w:b/>
          <w:bCs/>
        </w:rPr>
        <w:t xml:space="preserve">August conditions, October lease, yet no compliance file</w:t>
      </w:r>
      <w:r>
        <w:t xml:space="preserve"> — Resolution, 21.08.2025, cl. 1: </w:t>
      </w:r>
      <w:r>
        <w:rPr>
          <w:i/>
          <w:iCs/>
        </w:rPr>
        <w:t xml:space="preserve">“negotiate with at least 3 such operators ... and to select any one among them”</w:t>
      </w:r>
      <w:r>
        <w:t xml:space="preserve">; cl. 3: vetting </w:t>
      </w:r>
      <w:r>
        <w:rPr>
          <w:i/>
          <w:iCs/>
        </w:rPr>
        <w:t xml:space="preserve">“by a legal professional”</w:t>
      </w:r>
      <w:r>
        <w:t xml:space="preserve"> ... lease executed </w:t>
      </w:r>
      <w:r>
        <w:rPr>
          <w:i/>
          <w:iCs/>
        </w:rPr>
        <w:t xml:space="preserve">“27/10/2025”</w:t>
      </w:r>
      <w:r>
        <w:t xml:space="preserve"> ... Minutes, item 1, p. 17: </w:t>
      </w:r>
      <w:r>
        <w:rPr>
          <w:i/>
          <w:iCs/>
        </w:rPr>
        <w:t xml:space="preserve">“is ratified and approved unanimously”</w:t>
      </w:r>
      <w:r>
        <w:t xml:space="preserve"> — later ratification does not erase the earlier selection and execution records: proposals, comparison, negotiations, consultations, MOA and execution file undisclosed.</w:t>
      </w:r>
    </w:p>
    <w:sectPr w:rsidR="000B6AC5" w:rsidSect="00CA5FD0">
      <w:footerReference w:type="even" r:id="rId7"/>
      <w:footerReference w:type="default" r:id="rId8"/>
      <w:footerReference w:type="first" r:id="rId9"/>
      <w:pgSz w:w="11906" w:h="16838"/>
      <w:pgMar w:top="1440" w:right="1440" w:bottom="1440" w:left="2160" w:header="0" w:footer="720" w:gutter="0"/>
      <w:pgNumType w:fmt="numberInDash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CEB0F" w14:textId="77777777" w:rsidR="007427BD" w:rsidRDefault="007427BD" w:rsidP="00494E42">
      <w:r>
        <w:separator/>
      </w:r>
    </w:p>
  </w:endnote>
  <w:endnote w:type="continuationSeparator" w:id="0">
    <w:p w14:paraId="41D56193" w14:textId="77777777" w:rsidR="007427BD" w:rsidRDefault="007427BD" w:rsidP="00494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3715374"/>
      <w:docPartObj>
        <w:docPartGallery w:val="Page Numbers (Bottom of Page)"/>
        <w:docPartUnique/>
      </w:docPartObj>
    </w:sdtPr>
    <w:sdtContent>
      <w:p w14:paraId="0C1CDA27" w14:textId="77777777" w:rsidR="000B6AC5" w:rsidRDefault="00000000" w:rsidP="00494E42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0</w:t>
        </w:r>
        <w:r>
          <w:rPr>
            <w:rStyle w:val="PageNumber"/>
          </w:rPr>
          <w:fldChar w:fldCharType="end"/>
        </w:r>
      </w:p>
    </w:sdtContent>
  </w:sdt>
  <w:p w14:paraId="49E9B09B" w14:textId="77777777" w:rsidR="000B6AC5" w:rsidRDefault="000B6AC5" w:rsidP="00494E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1767863"/>
      <w:docPartObj>
        <w:docPartGallery w:val="Page Numbers (Bottom of Page)"/>
        <w:docPartUnique/>
      </w:docPartObj>
    </w:sdtPr>
    <w:sdtContent>
      <w:p w14:paraId="329C4B73" w14:textId="77777777" w:rsidR="000B6AC5" w:rsidRDefault="00000000" w:rsidP="00494E42">
        <w:pPr>
          <w:pStyle w:val="Footer"/>
          <w:rPr>
            <w:rStyle w:val="PageNumber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07548B" w14:textId="77777777" w:rsidR="000B6AC5" w:rsidRDefault="000B6AC5" w:rsidP="00494E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9880851"/>
      <w:docPartObj>
        <w:docPartGallery w:val="Page Numbers (Bottom of Page)"/>
        <w:docPartUnique/>
      </w:docPartObj>
    </w:sdtPr>
    <w:sdtContent>
      <w:p w14:paraId="07AA390B" w14:textId="77777777" w:rsidR="000B6AC5" w:rsidRDefault="00000000" w:rsidP="00494E42">
        <w:pPr>
          <w:pStyle w:val="Footer"/>
          <w:rPr>
            <w:rStyle w:val="PageNumber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5B027C" w14:textId="77777777" w:rsidR="000B6AC5" w:rsidRDefault="000B6AC5" w:rsidP="00494E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7642D" w14:textId="77777777" w:rsidR="007427BD" w:rsidRDefault="007427BD" w:rsidP="00494E42">
      <w:r>
        <w:separator/>
      </w:r>
    </w:p>
  </w:footnote>
  <w:footnote w:type="continuationSeparator" w:id="0">
    <w:p w14:paraId="7A569ABA" w14:textId="77777777" w:rsidR="007427BD" w:rsidRDefault="007427BD" w:rsidP="00494E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6310"/>
    <w:multiLevelType w:val="multilevel"/>
    <w:tmpl w:val="5DBC519E"/>
    <w:lvl w:ilvl="0">
      <w:start w:val="1"/>
      <w:numFmt w:val="bullet"/>
      <w:pStyle w:val="Bulleting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E6C1C46"/>
    <w:multiLevelType w:val="hybridMultilevel"/>
    <w:tmpl w:val="4BA466C8"/>
    <w:lvl w:ilvl="0" w:tplc="993862CA">
      <w:start w:val="1"/>
      <w:numFmt w:val="lowerLetter"/>
      <w:pStyle w:val="LetteredListNumb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521479"/>
    <w:multiLevelType w:val="multilevel"/>
    <w:tmpl w:val="7C1C9B92"/>
    <w:lvl w:ilvl="0">
      <w:start w:val="1"/>
      <w:numFmt w:val="decimal"/>
      <w:lvlText w:val="%1)"/>
      <w:lvlJc w:val="left"/>
      <w:pPr>
        <w:tabs>
          <w:tab w:val="num" w:pos="0"/>
        </w:tabs>
        <w:ind w:left="547" w:hanging="547"/>
      </w:pPr>
    </w:lvl>
    <w:lvl w:ilvl="1">
      <w:start w:val="1"/>
      <w:numFmt w:val="upp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lowerLetter"/>
      <w:lvlText w:val="%4)"/>
      <w:lvlJc w:val="left"/>
      <w:pPr>
        <w:tabs>
          <w:tab w:val="num" w:pos="0"/>
        </w:tabs>
        <w:ind w:left="1440" w:hanging="36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2C615D0"/>
    <w:multiLevelType w:val="multilevel"/>
    <w:tmpl w:val="26421280"/>
    <w:lvl w:ilvl="0">
      <w:start w:val="1"/>
      <w:numFmt w:val="decimal"/>
      <w:pStyle w:val="ListNumber"/>
      <w:lvlText w:val="%1)"/>
      <w:lvlJc w:val="left"/>
      <w:pPr>
        <w:ind w:left="360" w:hanging="360"/>
      </w:pPr>
    </w:lvl>
    <w:lvl w:ilvl="1">
      <w:start w:val="1"/>
      <w:numFmt w:val="decimal"/>
      <w:pStyle w:val="ListNumber2"/>
      <w:lvlText w:val="%1.%2)"/>
      <w:lvlJc w:val="left"/>
      <w:pPr>
        <w:ind w:left="720" w:hanging="360"/>
      </w:pPr>
    </w:lvl>
    <w:lvl w:ilvl="2">
      <w:start w:val="1"/>
      <w:numFmt w:val="decimal"/>
      <w:pStyle w:val="ListNumber3"/>
      <w:lvlText w:val="%1.%2.%3)"/>
      <w:lvlJc w:val="left"/>
      <w:pPr>
        <w:ind w:left="1080" w:hanging="360"/>
      </w:pPr>
    </w:lvl>
    <w:lvl w:ilvl="3">
      <w:start w:val="1"/>
      <w:numFmt w:val="decimal"/>
      <w:pStyle w:val="ListNumber4"/>
      <w:lvlText w:val="%1.%2.%3.%4)"/>
      <w:lvlJc w:val="left"/>
      <w:pPr>
        <w:ind w:left="1440" w:hanging="360"/>
      </w:pPr>
    </w:lvl>
    <w:lvl w:ilvl="4">
      <w:start w:val="1"/>
      <w:numFmt w:val="decimal"/>
      <w:lvlText w:val="%1.%2.%3.%4.%5)"/>
      <w:lvlJc w:val="left"/>
      <w:pPr>
        <w:ind w:left="1800" w:hanging="360"/>
      </w:pPr>
    </w:lvl>
    <w:lvl w:ilvl="5">
      <w:start w:val="1"/>
      <w:numFmt w:val="decimal"/>
      <w:lvlText w:val="%1.%2.%3.%4.%5.%6)"/>
      <w:lvlJc w:val="left"/>
      <w:pPr>
        <w:ind w:left="2160" w:hanging="360"/>
      </w:pPr>
    </w:lvl>
    <w:lvl w:ilvl="6">
      <w:start w:val="1"/>
      <w:numFmt w:val="decimal"/>
      <w:lvlText w:val="%1.%2.%3.%4.%5.%6.%7)"/>
      <w:lvlJc w:val="left"/>
      <w:pPr>
        <w:ind w:left="2520" w:hanging="360"/>
      </w:pPr>
    </w:lvl>
    <w:lvl w:ilvl="7">
      <w:start w:val="1"/>
      <w:numFmt w:val="decimal"/>
      <w:lvlText w:val="%1.%2.%3.%4.%5.%6.%7.%8)"/>
      <w:lvlJc w:val="left"/>
      <w:pPr>
        <w:ind w:left="2880" w:hanging="360"/>
      </w:pPr>
    </w:lvl>
    <w:lvl w:ilvl="8">
      <w:start w:val="1"/>
      <w:numFmt w:val="decimal"/>
      <w:lvlText w:val="%1.%2.%3.%4.%5.%6.%7.%8.%9)"/>
      <w:lvlJc w:val="left"/>
      <w:pPr>
        <w:ind w:left="3240" w:hanging="360"/>
      </w:pPr>
    </w:lvl>
  </w:abstractNum>
  <w:abstractNum w:abstractNumId="4" w15:restartNumberingAfterBreak="0">
    <w:nsid w:val="35F81891"/>
    <w:multiLevelType w:val="multilevel"/>
    <w:tmpl w:val="30E2A7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E530ED9"/>
    <w:multiLevelType w:val="hybridMultilevel"/>
    <w:tmpl w:val="97D2B960"/>
    <w:lvl w:ilvl="0" w:tplc="18F60DA8">
      <w:start w:val="1"/>
      <w:numFmt w:val="upperLetter"/>
      <w:pStyle w:val="CapitalListNumb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" w15:restartNumberingAfterBreak="0">
    <w:nsid w:val="51B318C4"/>
    <w:multiLevelType w:val="hybridMultilevel"/>
    <w:tmpl w:val="9626C0D6"/>
    <w:lvl w:ilvl="0" w:tplc="5478D4BC">
      <w:start w:val="1"/>
      <w:numFmt w:val="lowerRoman"/>
      <w:pStyle w:val="RomanListNumb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190544">
    <w:abstractNumId w:val="0"/>
  </w:num>
  <w:num w:numId="2" w16cid:durableId="1776898736">
    <w:abstractNumId w:val="2"/>
  </w:num>
  <w:num w:numId="3" w16cid:durableId="223951550">
    <w:abstractNumId w:val="4"/>
  </w:num>
  <w:num w:numId="4" w16cid:durableId="601883165">
    <w:abstractNumId w:val="3"/>
  </w:num>
  <w:num w:numId="5" w16cid:durableId="1359818873">
    <w:abstractNumId w:val="3"/>
  </w:num>
  <w:num w:numId="6" w16cid:durableId="1412655412">
    <w:abstractNumId w:val="1"/>
  </w:num>
  <w:num w:numId="7" w16cid:durableId="1337150253">
    <w:abstractNumId w:val="6"/>
  </w:num>
  <w:num w:numId="8" w16cid:durableId="5177359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1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DC"/>
    <w:rsid w:val="000966F6"/>
    <w:rsid w:val="000A7D64"/>
    <w:rsid w:val="000B6AC5"/>
    <w:rsid w:val="001603D1"/>
    <w:rsid w:val="00494E42"/>
    <w:rsid w:val="007427BD"/>
    <w:rsid w:val="007A766F"/>
    <w:rsid w:val="008637DC"/>
    <w:rsid w:val="00A64CE1"/>
    <w:rsid w:val="00CA5FD0"/>
    <w:rsid w:val="00D0530C"/>
    <w:rsid w:val="00D92019"/>
    <w:rsid w:val="00DF70EF"/>
    <w:rsid w:val="00F1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DABA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494E42"/>
    <w:pPr>
      <w:snapToGrid w:val="0"/>
      <w:spacing w:after="180" w:line="276" w:lineRule="auto"/>
      <w:jc w:val="both"/>
    </w:pPr>
    <w:rPr>
      <w:rFonts w:ascii="Cambria" w:hAnsi="Cambria"/>
      <w:spacing w:val="-14"/>
      <w:sz w:val="28"/>
      <w:szCs w:val="28"/>
    </w:rPr>
  </w:style>
  <w:style w:type="paragraph" w:styleId="Heading1">
    <w:name w:val="heading 1"/>
    <w:basedOn w:val="Heading2"/>
    <w:uiPriority w:val="1"/>
    <w:qFormat/>
    <w:rsid w:val="00494E42"/>
    <w:pPr>
      <w:outlineLvl w:val="0"/>
    </w:pPr>
    <w:rPr>
      <w:sz w:val="48"/>
      <w:szCs w:val="48"/>
    </w:rPr>
  </w:style>
  <w:style w:type="paragraph" w:styleId="Heading2">
    <w:name w:val="heading 2"/>
    <w:basedOn w:val="Heading3"/>
    <w:uiPriority w:val="2"/>
    <w:qFormat/>
    <w:rsid w:val="00494E42"/>
    <w:pPr>
      <w:outlineLvl w:val="1"/>
    </w:pPr>
    <w:rPr>
      <w:b w:val="0"/>
      <w:bCs w:val="0"/>
      <w:sz w:val="40"/>
      <w:szCs w:val="40"/>
    </w:rPr>
  </w:style>
  <w:style w:type="paragraph" w:styleId="Heading3">
    <w:name w:val="heading 3"/>
    <w:basedOn w:val="Normal"/>
    <w:uiPriority w:val="3"/>
    <w:qFormat/>
    <w:rsid w:val="00494E42"/>
    <w:pPr>
      <w:spacing w:line="240" w:lineRule="auto"/>
      <w:jc w:val="center"/>
      <w:outlineLvl w:val="2"/>
    </w:pPr>
    <w:rPr>
      <w:rFonts w:ascii="HELVETICA NEUE CONDENSED" w:hAnsi="HELVETICA NEUE CONDENSED"/>
      <w:b/>
      <w:bCs/>
      <w:caps/>
      <w:color w:val="000000" w:themeColor="text1"/>
      <w:sz w:val="32"/>
      <w:szCs w:val="32"/>
    </w:rPr>
  </w:style>
  <w:style w:type="paragraph" w:styleId="Heading4">
    <w:name w:val="heading 4"/>
    <w:basedOn w:val="Heading3"/>
    <w:uiPriority w:val="4"/>
    <w:qFormat/>
    <w:rsid w:val="00494E42"/>
    <w:pPr>
      <w:jc w:val="left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Gap">
    <w:name w:val="No Gap"/>
    <w:basedOn w:val="Normal"/>
    <w:uiPriority w:val="13"/>
    <w:qFormat/>
    <w:rsid w:val="00494E42"/>
    <w:pPr>
      <w:spacing w:after="0" w:line="240" w:lineRule="auto"/>
    </w:pPr>
  </w:style>
  <w:style w:type="paragraph" w:customStyle="1" w:styleId="Bulleting">
    <w:name w:val="Bulleting"/>
    <w:basedOn w:val="Normal"/>
    <w:uiPriority w:val="12"/>
    <w:qFormat/>
    <w:rsid w:val="00494E42"/>
    <w:pPr>
      <w:numPr>
        <w:numId w:val="1"/>
      </w:numPr>
      <w:tabs>
        <w:tab w:val="clear" w:pos="0"/>
      </w:tabs>
      <w:ind w:left="540" w:hanging="540"/>
    </w:pPr>
  </w:style>
  <w:style w:type="paragraph" w:styleId="ListNumber">
    <w:name w:val="List Number"/>
    <w:basedOn w:val="Normal"/>
    <w:uiPriority w:val="6"/>
    <w:qFormat/>
    <w:rsid w:val="008637DC"/>
    <w:pPr>
      <w:numPr>
        <w:numId w:val="5"/>
      </w:numPr>
      <w:ind w:left="540" w:hanging="540"/>
    </w:pPr>
  </w:style>
  <w:style w:type="paragraph" w:styleId="ListNumber2">
    <w:name w:val="List Number 2"/>
    <w:basedOn w:val="Normal"/>
    <w:uiPriority w:val="7"/>
    <w:qFormat/>
    <w:rsid w:val="008637DC"/>
    <w:pPr>
      <w:numPr>
        <w:ilvl w:val="1"/>
        <w:numId w:val="5"/>
      </w:numPr>
      <w:ind w:left="1080" w:hanging="540"/>
    </w:pPr>
  </w:style>
  <w:style w:type="paragraph" w:styleId="ListNumber3">
    <w:name w:val="List Number 3"/>
    <w:basedOn w:val="Normal"/>
    <w:uiPriority w:val="8"/>
    <w:qFormat/>
    <w:rsid w:val="008637DC"/>
    <w:pPr>
      <w:numPr>
        <w:ilvl w:val="2"/>
        <w:numId w:val="5"/>
      </w:numPr>
      <w:ind w:left="1800" w:hanging="720"/>
    </w:pPr>
  </w:style>
  <w:style w:type="paragraph" w:styleId="ListNumber4">
    <w:name w:val="List Number 4"/>
    <w:basedOn w:val="Normal"/>
    <w:uiPriority w:val="9"/>
    <w:qFormat/>
    <w:rsid w:val="008637DC"/>
    <w:pPr>
      <w:numPr>
        <w:ilvl w:val="3"/>
        <w:numId w:val="5"/>
      </w:numPr>
      <w:ind w:left="2700" w:hanging="900"/>
    </w:pPr>
  </w:style>
  <w:style w:type="paragraph" w:customStyle="1" w:styleId="LetteredListNumber">
    <w:name w:val="Lettered List Number"/>
    <w:basedOn w:val="ListNumber"/>
    <w:uiPriority w:val="10"/>
    <w:qFormat/>
    <w:rsid w:val="007A766F"/>
    <w:pPr>
      <w:numPr>
        <w:numId w:val="6"/>
      </w:numPr>
      <w:ind w:left="360"/>
    </w:pPr>
  </w:style>
  <w:style w:type="paragraph" w:customStyle="1" w:styleId="RomanListNumber">
    <w:name w:val="Roman List Number"/>
    <w:basedOn w:val="LetteredListNumber"/>
    <w:uiPriority w:val="11"/>
    <w:qFormat/>
    <w:rsid w:val="000A7D64"/>
    <w:pPr>
      <w:numPr>
        <w:numId w:val="7"/>
      </w:numPr>
      <w:ind w:left="360"/>
    </w:pPr>
  </w:style>
  <w:style w:type="paragraph" w:customStyle="1" w:styleId="Table">
    <w:name w:val="Table"/>
    <w:basedOn w:val="NoGap"/>
    <w:uiPriority w:val="14"/>
    <w:qFormat/>
    <w:rsid w:val="000966F6"/>
    <w:pPr>
      <w:jc w:val="left"/>
    </w:pPr>
  </w:style>
  <w:style w:type="paragraph" w:styleId="Footer">
    <w:name w:val="footer"/>
    <w:basedOn w:val="Normal"/>
    <w:link w:val="FooterChar"/>
    <w:uiPriority w:val="15"/>
    <w:unhideWhenUsed/>
    <w:rsid w:val="008A5BE7"/>
    <w:pPr>
      <w:tabs>
        <w:tab w:val="center" w:pos="4680"/>
        <w:tab w:val="right" w:pos="9360"/>
      </w:tabs>
      <w:spacing w:after="0" w:line="240" w:lineRule="auto"/>
      <w:jc w:val="center"/>
    </w:p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17"/>
    <w:qFormat/>
    <w:rsid w:val="002F3658"/>
    <w:rPr>
      <w:b/>
      <w:bCs/>
    </w:rPr>
  </w:style>
  <w:style w:type="character" w:styleId="Emphasis">
    <w:name w:val="Emphasis"/>
    <w:basedOn w:val="DefaultParagraphFont"/>
    <w:uiPriority w:val="16"/>
    <w:qFormat/>
    <w:rsid w:val="002F3658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A5BE7"/>
    <w:rPr>
      <w:rFonts w:ascii="Cambria" w:hAnsi="Cambria"/>
      <w:spacing w:val="-14"/>
      <w:sz w:val="26"/>
    </w:rPr>
  </w:style>
  <w:style w:type="character" w:styleId="PageNumber">
    <w:name w:val="page number"/>
    <w:basedOn w:val="DefaultParagraphFont"/>
    <w:uiPriority w:val="99"/>
    <w:semiHidden/>
    <w:unhideWhenUsed/>
    <w:rsid w:val="00ED3635"/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table" w:styleId="TableGrid">
    <w:name w:val="Table Grid"/>
    <w:basedOn w:val="TableNormal"/>
    <w:uiPriority w:val="39"/>
    <w:rsid w:val="00B315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qFormat/>
    <w:rsid w:val="00361621"/>
  </w:style>
  <w:style w:type="numbering" w:customStyle="1" w:styleId="CurrentList2">
    <w:name w:val="Current List2"/>
    <w:uiPriority w:val="99"/>
    <w:qFormat/>
    <w:rsid w:val="00361621"/>
  </w:style>
  <w:style w:type="paragraph" w:customStyle="1" w:styleId="CapitalListNumber">
    <w:name w:val="Capital List Number"/>
    <w:basedOn w:val="RomanListNumber"/>
    <w:uiPriority w:val="5"/>
    <w:qFormat/>
    <w:rsid w:val="008637DC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HEADING 1.dotx</Template>
  <TotalTime>4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Madhavan</dc:creator>
  <dc:description/>
  <cp:lastModifiedBy>Anoop Madhavan</cp:lastModifiedBy>
  <cp:revision>1</cp:revision>
  <dcterms:created xsi:type="dcterms:W3CDTF">2026-06-28T12:15:00Z</dcterms:created>
  <dcterms:modified xsi:type="dcterms:W3CDTF">2026-06-28T12:19:00Z</dcterms:modified>
  <dc:language>en-US</dc:language>
</cp:coreProperties>
</file>