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8D02" w14:textId="3B95F637" w:rsidR="00772E5B" w:rsidRPr="004761ED" w:rsidRDefault="00E91EF5" w:rsidP="004761ED">
      <w:pPr>
        <w:pStyle w:val="Heading1"/>
      </w:pPr>
      <w:r w:rsidRPr="004761ED">
        <w:t>ORAL ARGUMENT NOTES</w:t>
      </w:r>
    </w:p>
    <w:p w14:paraId="1A5469C2" w14:textId="77777777" w:rsidR="00772E5B" w:rsidRPr="004761ED" w:rsidRDefault="00000000" w:rsidP="004761ED">
      <w:pPr>
        <w:pStyle w:val="Heading2"/>
      </w:pPr>
      <w:r w:rsidRPr="004761ED">
        <w:t>I.A. 5/2026 (status quo)</w:t>
      </w:r>
    </w:p>
    <w:p w14:paraId="3369FDC3" w14:textId="77777777" w:rsidR="00772E5B" w:rsidRPr="004761ED" w:rsidRDefault="00000000" w:rsidP="004761ED">
      <w:pPr>
        <w:pStyle w:val="Heading2"/>
      </w:pPr>
      <w:r w:rsidRPr="004761ED">
        <w:t>I.A. 6/2026 (discovery)</w:t>
      </w:r>
    </w:p>
    <w:p w14:paraId="0438E3DB" w14:textId="77777777" w:rsidR="00772E5B" w:rsidRPr="004761ED" w:rsidRDefault="00000000" w:rsidP="004761ED">
      <w:pPr>
        <w:pStyle w:val="Heading3"/>
      </w:pPr>
      <w:r w:rsidRPr="004761ED">
        <w:t>What “status quo” means</w:t>
      </w:r>
    </w:p>
    <w:p w14:paraId="1589FD03" w14:textId="76AA2E9B" w:rsidR="00772E5B" w:rsidRPr="004761ED" w:rsidRDefault="00000000" w:rsidP="004761ED">
      <w:pPr>
        <w:pStyle w:val="ListNumber"/>
        <w:spacing w:before="0" w:after="0" w:line="240" w:lineRule="auto"/>
        <w:ind w:left="547" w:hanging="547"/>
        <w:contextualSpacing w:val="0"/>
        <w:rPr>
          <w:sz w:val="28"/>
          <w:szCs w:val="28"/>
        </w:rPr>
      </w:pPr>
      <w:r w:rsidRPr="004761ED">
        <w:rPr>
          <w:rStyle w:val="Strong"/>
          <w:sz w:val="28"/>
          <w:szCs w:val="28"/>
        </w:rPr>
        <w:t>“Status quo” is being misquoted</w:t>
      </w:r>
      <w:r w:rsidR="004761ED">
        <w:rPr>
          <w:rStyle w:val="Strong"/>
          <w:sz w:val="28"/>
          <w:szCs w:val="28"/>
        </w:rPr>
        <w:t xml:space="preserve"> by 2</w:t>
      </w:r>
      <w:r w:rsidR="004761ED" w:rsidRPr="004761ED">
        <w:rPr>
          <w:rStyle w:val="Strong"/>
          <w:sz w:val="28"/>
          <w:szCs w:val="28"/>
          <w:vertAlign w:val="superscript"/>
        </w:rPr>
        <w:t>nd</w:t>
      </w:r>
      <w:r w:rsidR="004761ED">
        <w:rPr>
          <w:rStyle w:val="Strong"/>
          <w:sz w:val="28"/>
          <w:szCs w:val="28"/>
        </w:rPr>
        <w:t xml:space="preserve"> Defendant</w:t>
      </w:r>
      <w:r w:rsidRPr="004761ED">
        <w:rPr>
          <w:rStyle w:val="Strong"/>
          <w:sz w:val="28"/>
          <w:szCs w:val="28"/>
        </w:rPr>
        <w:t>.</w:t>
      </w:r>
      <w:r w:rsidRPr="004761ED">
        <w:rPr>
          <w:sz w:val="28"/>
          <w:szCs w:val="28"/>
        </w:rPr>
        <w:t xml:space="preserve"> The prayer in I.A. 5/2026 asks the Court to “</w:t>
      </w:r>
      <w:r w:rsidRPr="004761ED">
        <w:rPr>
          <w:rStyle w:val="Emphasis"/>
        </w:rPr>
        <w:t>maintain status quo, restrain commercial ventures, events, inaugurations, and non-trust public entry</w:t>
      </w:r>
      <w:r w:rsidRPr="004761ED">
        <w:rPr>
          <w:sz w:val="28"/>
          <w:szCs w:val="28"/>
        </w:rPr>
        <w:t xml:space="preserve">.” The Defendants quote only the first two words and ignore the rest. This </w:t>
      </w:r>
      <w:r w:rsidR="004761ED">
        <w:rPr>
          <w:sz w:val="28"/>
          <w:szCs w:val="28"/>
        </w:rPr>
        <w:t>is selective reading to confuse the court and plaintiff.</w:t>
      </w:r>
    </w:p>
    <w:p w14:paraId="69BC1542" w14:textId="346C154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 xml:space="preserve">The baseline is the property </w:t>
      </w:r>
      <w:r w:rsidR="004761ED">
        <w:rPr>
          <w:rStyle w:val="Strong"/>
          <w:sz w:val="28"/>
          <w:szCs w:val="28"/>
        </w:rPr>
        <w:t xml:space="preserve">on </w:t>
      </w:r>
      <w:r w:rsidRPr="004761ED">
        <w:rPr>
          <w:rStyle w:val="Strong"/>
          <w:sz w:val="28"/>
          <w:szCs w:val="28"/>
        </w:rPr>
        <w:t>date of filing (12/06/2025).</w:t>
      </w:r>
      <w:r w:rsidRPr="004761ED">
        <w:rPr>
          <w:sz w:val="28"/>
          <w:szCs w:val="28"/>
        </w:rPr>
        <w:t xml:space="preserve"> O.S. 214/2025 was filed to preserve the property while the suit is decided. Instead, the Defendants enabled a private company to operate from it without any permission from the Court. A change made during the suit cannot become the baseline the Court protects.</w:t>
      </w:r>
    </w:p>
    <w:p w14:paraId="3465F6F0" w14:textId="77777777" w:rsidR="009C5582" w:rsidRPr="004761ED" w:rsidRDefault="00000000" w:rsidP="004761ED">
      <w:pPr>
        <w:pStyle w:val="ListNumber2"/>
        <w:spacing w:line="240" w:lineRule="auto"/>
        <w:contextualSpacing w:val="0"/>
        <w:rPr>
          <w:sz w:val="28"/>
          <w:szCs w:val="28"/>
        </w:rPr>
      </w:pPr>
      <w:r w:rsidRPr="004761ED">
        <w:rPr>
          <w:rStyle w:val="Emphasis"/>
          <w:sz w:val="28"/>
          <w:szCs w:val="28"/>
        </w:rPr>
        <w:t>The Plaintiff is excluded from entry and cannot know the internal use or any alteration. That exclusion is precisely why status quo must mean preservation.</w:t>
      </w:r>
    </w:p>
    <w:p w14:paraId="6F887584" w14:textId="3DE3CC13" w:rsidR="00772E5B" w:rsidRPr="004761ED" w:rsidRDefault="009C5582" w:rsidP="004761ED">
      <w:pPr>
        <w:pStyle w:val="ListNumber2"/>
        <w:spacing w:line="240" w:lineRule="auto"/>
        <w:contextualSpacing w:val="0"/>
        <w:rPr>
          <w:sz w:val="28"/>
          <w:szCs w:val="28"/>
        </w:rPr>
      </w:pPr>
      <w:r w:rsidRPr="004761ED">
        <w:rPr>
          <w:rStyle w:val="Emphasis"/>
          <w:sz w:val="28"/>
          <w:szCs w:val="28"/>
        </w:rPr>
        <w:t xml:space="preserve">Status quo cannot </w:t>
      </w:r>
      <w:r w:rsidRPr="004761ED">
        <w:rPr>
          <w:sz w:val="28"/>
          <w:szCs w:val="28"/>
        </w:rPr>
        <w:t>mean a private company operating behind closed gates. Such a company was not a party at the onset of this case, and a relationship created after filing cannot retroactively make it one.</w:t>
      </w:r>
    </w:p>
    <w:p w14:paraId="5463D0A6" w14:textId="340A6000" w:rsidR="00EC1CDF" w:rsidRPr="004761ED" w:rsidRDefault="00EC1CDF" w:rsidP="004761ED">
      <w:pPr>
        <w:pStyle w:val="BlueCitation"/>
        <w:spacing w:before="0" w:line="240" w:lineRule="auto"/>
        <w:contextualSpacing w:val="0"/>
        <w:rPr>
          <w:sz w:val="28"/>
          <w:szCs w:val="28"/>
        </w:rPr>
      </w:pPr>
      <w:proofErr w:type="spellStart"/>
      <w:r w:rsidRPr="004761ED">
        <w:rPr>
          <w:sz w:val="28"/>
          <w:szCs w:val="28"/>
        </w:rPr>
        <w:t>Maharwal</w:t>
      </w:r>
      <w:proofErr w:type="spellEnd"/>
      <w:r w:rsidRPr="004761ED">
        <w:rPr>
          <w:sz w:val="28"/>
          <w:szCs w:val="28"/>
        </w:rPr>
        <w:t xml:space="preserve"> </w:t>
      </w:r>
      <w:proofErr w:type="spellStart"/>
      <w:r w:rsidRPr="004761ED">
        <w:rPr>
          <w:sz w:val="28"/>
          <w:szCs w:val="28"/>
        </w:rPr>
        <w:t>Khewaji</w:t>
      </w:r>
      <w:proofErr w:type="spellEnd"/>
      <w:r w:rsidRPr="004761ED">
        <w:rPr>
          <w:sz w:val="28"/>
          <w:szCs w:val="28"/>
        </w:rPr>
        <w:t xml:space="preserve"> Trust v. Baldev Dass, (2004) 8 SCC 488, protects the suit-date status quo and bars changes in the nature of the property absent exceptional loss. Usha Sinha v. Dina Ram, (2008) 7 SCC 144, binds a pendente lite transferee to the decree. The lease came after filing; it cannot become the status quo.</w:t>
      </w:r>
    </w:p>
    <w:p w14:paraId="61114269" w14:textId="77777777" w:rsidR="00772E5B" w:rsidRPr="004761ED" w:rsidRDefault="00000000" w:rsidP="004761ED">
      <w:pPr>
        <w:pStyle w:val="Heading3"/>
      </w:pPr>
      <w:r w:rsidRPr="004761ED">
        <w:t>THEIR “status quo” is concealment and defiance</w:t>
      </w:r>
    </w:p>
    <w:p w14:paraId="6E2DA0EA" w14:textId="7777777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This is self-help during pending litigation, not status quo.</w:t>
      </w:r>
      <w:r w:rsidRPr="004761ED">
        <w:rPr>
          <w:sz w:val="28"/>
          <w:szCs w:val="28"/>
        </w:rPr>
        <w:t xml:space="preserve"> Three suits over this property are pending before this Court: O.S. 214/2025, O.S. 243/2024 and O.S. 84/2024. All three predate the private company. While they were pending, the Defendants leased and </w:t>
      </w:r>
      <w:proofErr w:type="spellStart"/>
      <w:r w:rsidRPr="004761ED">
        <w:rPr>
          <w:sz w:val="28"/>
          <w:szCs w:val="28"/>
        </w:rPr>
        <w:t>commercialised</w:t>
      </w:r>
      <w:proofErr w:type="spellEnd"/>
      <w:r w:rsidRPr="004761ED">
        <w:rPr>
          <w:sz w:val="28"/>
          <w:szCs w:val="28"/>
        </w:rPr>
        <w:t xml:space="preserve"> the property. To call that “status quo” is to ask the Court to sanction the disregard of its own authority.</w:t>
      </w:r>
    </w:p>
    <w:p w14:paraId="67832AFD" w14:textId="6718DC14"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The concealment was deliberate.</w:t>
      </w:r>
      <w:r w:rsidRPr="004761ED">
        <w:rPr>
          <w:sz w:val="28"/>
          <w:szCs w:val="28"/>
        </w:rPr>
        <w:t xml:space="preserve"> The 2nd Defendant executed the purported lease on 27/10/2025 during the pending suits and while I.A. 5/2025 sought the Trust’s accounts. The Plaintiff uncovered and </w:t>
      </w:r>
      <w:r w:rsidRPr="004761ED">
        <w:rPr>
          <w:sz w:val="28"/>
          <w:szCs w:val="28"/>
        </w:rPr>
        <w:lastRenderedPageBreak/>
        <w:t xml:space="preserve">disclosed it in his rejoinder; </w:t>
      </w:r>
      <w:proofErr w:type="gramStart"/>
      <w:r w:rsidRPr="004761ED">
        <w:rPr>
          <w:sz w:val="28"/>
          <w:szCs w:val="28"/>
        </w:rPr>
        <w:t>otherwise</w:t>
      </w:r>
      <w:proofErr w:type="gramEnd"/>
      <w:r w:rsidRPr="004761ED">
        <w:rPr>
          <w:sz w:val="28"/>
          <w:szCs w:val="28"/>
        </w:rPr>
        <w:t xml:space="preserve"> the purported lease and its income would have remained hidden.</w:t>
      </w:r>
    </w:p>
    <w:p w14:paraId="2E152106" w14:textId="3FBFC9AD" w:rsidR="00772E5B" w:rsidRPr="004761ED" w:rsidRDefault="00000000" w:rsidP="004761ED">
      <w:pPr>
        <w:pStyle w:val="ListNumber2"/>
        <w:spacing w:line="240" w:lineRule="auto"/>
        <w:contextualSpacing w:val="0"/>
        <w:rPr>
          <w:sz w:val="28"/>
          <w:szCs w:val="28"/>
        </w:rPr>
      </w:pPr>
      <w:r w:rsidRPr="004761ED">
        <w:rPr>
          <w:rStyle w:val="Emphasis"/>
          <w:sz w:val="28"/>
          <w:szCs w:val="28"/>
        </w:rPr>
        <w:t>The private company was not invisible.</w:t>
      </w:r>
      <w:r w:rsidRPr="004761ED">
        <w:rPr>
          <w:sz w:val="28"/>
          <w:szCs w:val="28"/>
        </w:rPr>
        <w:t xml:space="preserve"> It was GST-registered with its principal place of business at the Trust address. As of 01/03/2026, its name board stands in front of the </w:t>
      </w:r>
      <w:proofErr w:type="spellStart"/>
      <w:r w:rsidRPr="004761ED">
        <w:rPr>
          <w:sz w:val="28"/>
          <w:szCs w:val="28"/>
        </w:rPr>
        <w:t>Tharavad</w:t>
      </w:r>
      <w:proofErr w:type="spellEnd"/>
      <w:r w:rsidRPr="004761ED">
        <w:rPr>
          <w:sz w:val="28"/>
          <w:szCs w:val="28"/>
        </w:rPr>
        <w:t>. It was public-</w:t>
      </w:r>
      <w:proofErr w:type="gramStart"/>
      <w:r w:rsidRPr="004761ED">
        <w:rPr>
          <w:sz w:val="28"/>
          <w:szCs w:val="28"/>
        </w:rPr>
        <w:t>facing, yet</w:t>
      </w:r>
      <w:proofErr w:type="gramEnd"/>
      <w:r w:rsidRPr="004761ED">
        <w:rPr>
          <w:sz w:val="28"/>
          <w:szCs w:val="28"/>
        </w:rPr>
        <w:t xml:space="preserve"> concealed from the Plaintiff and this Court.</w:t>
      </w:r>
    </w:p>
    <w:p w14:paraId="60153629" w14:textId="5CACDD32" w:rsidR="0070642C" w:rsidRPr="004761ED" w:rsidRDefault="0070642C" w:rsidP="004761ED">
      <w:pPr>
        <w:pStyle w:val="ListNumber"/>
        <w:spacing w:before="0" w:after="0" w:line="240" w:lineRule="auto"/>
        <w:contextualSpacing w:val="0"/>
        <w:rPr>
          <w:sz w:val="28"/>
          <w:szCs w:val="28"/>
        </w:rPr>
      </w:pPr>
      <w:r w:rsidRPr="004761ED">
        <w:rPr>
          <w:rStyle w:val="Strong"/>
          <w:sz w:val="28"/>
          <w:szCs w:val="28"/>
        </w:rPr>
        <w:t>A status quo cannot arise from suppression</w:t>
      </w:r>
      <w:r w:rsidRPr="004761ED">
        <w:rPr>
          <w:sz w:val="28"/>
          <w:szCs w:val="28"/>
        </w:rPr>
        <w:t>. This Court closed I.A. 5/2025 "in light of the affidavit" dated 16/02/2026 in which the 2nd Defendant swore the demanded records were unavailable. That covered the bank statements and financial records now produced; the purported lease too was already in existence. What was concealed from the Court cannot later become a protected status quo.</w:t>
      </w:r>
    </w:p>
    <w:p w14:paraId="28CBB3AA" w14:textId="3BA8C698" w:rsidR="0070642C" w:rsidRPr="004761ED" w:rsidRDefault="0070642C" w:rsidP="004761ED">
      <w:pPr>
        <w:pStyle w:val="ListNumber2"/>
        <w:spacing w:line="240" w:lineRule="auto"/>
        <w:contextualSpacing w:val="0"/>
        <w:rPr>
          <w:sz w:val="28"/>
          <w:szCs w:val="28"/>
        </w:rPr>
      </w:pPr>
      <w:r w:rsidRPr="004761ED">
        <w:rPr>
          <w:rStyle w:val="Emphasis"/>
          <w:sz w:val="28"/>
          <w:szCs w:val="28"/>
        </w:rPr>
        <w:t>Having denied the records to win the order, they are estopped from relying on them.</w:t>
      </w:r>
      <w:r w:rsidRPr="004761ED">
        <w:rPr>
          <w:sz w:val="28"/>
          <w:szCs w:val="28"/>
        </w:rPr>
        <w:t xml:space="preserve"> On the principle of approbate and reprobate they cannot now lean on that very lease and those records to claim a "status quo." A party cannot blow hot and cold.</w:t>
      </w:r>
    </w:p>
    <w:p w14:paraId="08EA8DB4" w14:textId="54D77967" w:rsidR="0070642C" w:rsidRPr="004761ED" w:rsidRDefault="0070642C" w:rsidP="004761ED">
      <w:pPr>
        <w:pStyle w:val="ListNumber2"/>
        <w:spacing w:line="240" w:lineRule="auto"/>
        <w:contextualSpacing w:val="0"/>
        <w:rPr>
          <w:sz w:val="28"/>
          <w:szCs w:val="28"/>
        </w:rPr>
      </w:pPr>
      <w:r w:rsidRPr="004761ED">
        <w:rPr>
          <w:rStyle w:val="Emphasis"/>
          <w:sz w:val="28"/>
          <w:szCs w:val="28"/>
        </w:rPr>
        <w:t xml:space="preserve">Compelled disclosure creates no rights. </w:t>
      </w:r>
      <w:r w:rsidRPr="004761ED">
        <w:rPr>
          <w:sz w:val="28"/>
          <w:szCs w:val="28"/>
        </w:rPr>
        <w:t>Production of lease was selective and came only after the Plaintiff revealed to the Court the existence of the private entity operating from the premises. It was not revealed by the 2nd Defendant.</w:t>
      </w:r>
    </w:p>
    <w:p w14:paraId="2F6187A9" w14:textId="5EE337B6" w:rsidR="00B617BD" w:rsidRPr="004761ED" w:rsidRDefault="00B617BD" w:rsidP="004761ED">
      <w:pPr>
        <w:pStyle w:val="BlueCitation"/>
        <w:spacing w:before="0" w:line="240" w:lineRule="auto"/>
        <w:contextualSpacing w:val="0"/>
        <w:rPr>
          <w:sz w:val="28"/>
          <w:szCs w:val="28"/>
        </w:rPr>
      </w:pPr>
      <w:r w:rsidRPr="004761ED">
        <w:rPr>
          <w:sz w:val="28"/>
          <w:szCs w:val="28"/>
        </w:rPr>
        <w:t>Chengalvaraya Naidu, (1994) 1 SCC 1, and A.V. Papayya Sastry, (2007) 4 SCC 221, hold that suppression of a vital document to obtain an order is fraud on Court. A concealed lease cannot be used as the foundation for equitable relief.</w:t>
      </w:r>
    </w:p>
    <w:p w14:paraId="39835AA2" w14:textId="7BD55E46" w:rsidR="00772E5B" w:rsidRPr="004761ED" w:rsidRDefault="00000000" w:rsidP="004761ED">
      <w:pPr>
        <w:pStyle w:val="Heading3"/>
      </w:pPr>
      <w:r w:rsidRPr="004761ED">
        <w:t>The lease was concealed from this Court</w:t>
      </w:r>
    </w:p>
    <w:p w14:paraId="7F38D396" w14:textId="77777777" w:rsidR="00772E5B" w:rsidRPr="004761ED" w:rsidRDefault="00000000" w:rsidP="004761ED">
      <w:pPr>
        <w:pStyle w:val="ListNumber"/>
        <w:spacing w:before="0" w:after="0" w:line="240" w:lineRule="auto"/>
        <w:contextualSpacing w:val="0"/>
        <w:rPr>
          <w:sz w:val="28"/>
          <w:szCs w:val="28"/>
        </w:rPr>
      </w:pPr>
      <w:r w:rsidRPr="004761ED">
        <w:rPr>
          <w:b/>
          <w:sz w:val="28"/>
          <w:szCs w:val="28"/>
        </w:rPr>
        <w:t xml:space="preserve">The I.A. 5/2025 closure, made under the High Court’s time-bound direction, rests on a disproved affidavit. </w:t>
      </w:r>
      <w:r w:rsidRPr="004761ED">
        <w:rPr>
          <w:sz w:val="28"/>
          <w:szCs w:val="28"/>
        </w:rPr>
        <w:t>The purported lease, bank statements and minutes book all existed before the 16/02/2026 affidavit and surfaced only on 18/05/2026.</w:t>
      </w:r>
    </w:p>
    <w:p w14:paraId="7F5A9D88" w14:textId="77777777" w:rsidR="00772E5B" w:rsidRPr="004761ED" w:rsidRDefault="00000000" w:rsidP="004761ED">
      <w:pPr>
        <w:pStyle w:val="ListNumber"/>
        <w:spacing w:before="0" w:after="0" w:line="240" w:lineRule="auto"/>
        <w:contextualSpacing w:val="0"/>
        <w:rPr>
          <w:sz w:val="28"/>
          <w:szCs w:val="28"/>
        </w:rPr>
      </w:pPr>
      <w:r w:rsidRPr="004761ED">
        <w:rPr>
          <w:b/>
          <w:sz w:val="28"/>
          <w:szCs w:val="28"/>
        </w:rPr>
        <w:t xml:space="preserve">The same concealment occurred in O.S. 243/2024. </w:t>
      </w:r>
      <w:r w:rsidRPr="004761ED">
        <w:rPr>
          <w:sz w:val="28"/>
          <w:szCs w:val="28"/>
        </w:rPr>
        <w:t>I.A. 1/2024 was argued on 27/11/2025 on the Trust’s claim of exclusive possession, although the purported lease had already been signed a month earlier and was not disclosed.</w:t>
      </w:r>
    </w:p>
    <w:p w14:paraId="525A637D" w14:textId="77777777" w:rsidR="00772E5B" w:rsidRPr="004761ED" w:rsidRDefault="00000000" w:rsidP="004761ED">
      <w:pPr>
        <w:pStyle w:val="ListNumber2"/>
        <w:spacing w:line="240" w:lineRule="auto"/>
        <w:contextualSpacing w:val="0"/>
        <w:rPr>
          <w:sz w:val="28"/>
          <w:szCs w:val="28"/>
        </w:rPr>
      </w:pPr>
      <w:r w:rsidRPr="004761ED">
        <w:rPr>
          <w:rStyle w:val="Emphasis"/>
          <w:sz w:val="28"/>
          <w:szCs w:val="28"/>
        </w:rPr>
        <w:t>On 03/12/2025 this Court refused the Trust’s injunction, finding no prima facie case, balance of convenience for the Plaintiff, and no real harm to the Trust.</w:t>
      </w:r>
    </w:p>
    <w:p w14:paraId="35706351" w14:textId="77777777" w:rsidR="00772E5B" w:rsidRPr="004761ED" w:rsidRDefault="00000000" w:rsidP="004761ED">
      <w:pPr>
        <w:pStyle w:val="ListNumber"/>
        <w:spacing w:before="0" w:after="0" w:line="240" w:lineRule="auto"/>
        <w:contextualSpacing w:val="0"/>
        <w:rPr>
          <w:sz w:val="28"/>
          <w:szCs w:val="28"/>
        </w:rPr>
      </w:pPr>
      <w:r w:rsidRPr="004761ED">
        <w:rPr>
          <w:b/>
          <w:sz w:val="28"/>
          <w:szCs w:val="28"/>
        </w:rPr>
        <w:t xml:space="preserve">The Defendants then sought to manufacture the exclusivity this Court refused. </w:t>
      </w:r>
      <w:r w:rsidRPr="004761ED">
        <w:rPr>
          <w:sz w:val="28"/>
          <w:szCs w:val="28"/>
        </w:rPr>
        <w:t>Days after the 03/12/2025 order, the company was GST-registered at the Trust address on 09/12/2025. That cannot be protected as status quo.</w:t>
      </w:r>
    </w:p>
    <w:p w14:paraId="716FE481" w14:textId="77777777" w:rsidR="00772E5B" w:rsidRPr="004761ED" w:rsidRDefault="00000000" w:rsidP="004761ED">
      <w:pPr>
        <w:pStyle w:val="Heading3"/>
      </w:pPr>
      <w:r w:rsidRPr="004761ED">
        <w:t>No fiduciary authority</w:t>
      </w:r>
    </w:p>
    <w:p w14:paraId="02F0C3FD" w14:textId="77777777" w:rsidR="002156C9" w:rsidRPr="004761ED" w:rsidRDefault="002156C9" w:rsidP="004761ED">
      <w:pPr>
        <w:pStyle w:val="ListNumber"/>
        <w:spacing w:before="0" w:after="0" w:line="240" w:lineRule="auto"/>
        <w:contextualSpacing w:val="0"/>
        <w:rPr>
          <w:sz w:val="28"/>
          <w:szCs w:val="28"/>
        </w:rPr>
      </w:pPr>
      <w:r w:rsidRPr="004761ED">
        <w:rPr>
          <w:b/>
          <w:sz w:val="28"/>
          <w:szCs w:val="28"/>
        </w:rPr>
        <w:lastRenderedPageBreak/>
        <w:t xml:space="preserve">No fiduciary power without accountability. </w:t>
      </w:r>
      <w:r w:rsidRPr="004761ED">
        <w:rPr>
          <w:sz w:val="28"/>
          <w:szCs w:val="28"/>
        </w:rPr>
        <w:t>The 2nd Defendant’s authority flows only from the 2007 Trust Deed and the Indian Trusts Act, 1882. Clause 2 requires records and accounts; Clause 16 requires annual placement of accounts; Section 19 requires clear accounts and full information to beneficiaries. Having rendered no accounts for eighteen years, he cannot seek discretionary protection for concealed commercialisation in the nineteenth.</w:t>
      </w:r>
    </w:p>
    <w:p w14:paraId="15B002ED" w14:textId="4A5D344B" w:rsidR="00DD7E9D" w:rsidRPr="004761ED" w:rsidRDefault="00DD7E9D" w:rsidP="004761ED">
      <w:pPr>
        <w:pStyle w:val="ListNumber"/>
        <w:spacing w:before="0" w:after="0" w:line="240" w:lineRule="auto"/>
        <w:contextualSpacing w:val="0"/>
        <w:rPr>
          <w:sz w:val="28"/>
          <w:szCs w:val="28"/>
        </w:rPr>
      </w:pPr>
      <w:r w:rsidRPr="004761ED">
        <w:rPr>
          <w:b/>
          <w:sz w:val="28"/>
          <w:szCs w:val="28"/>
        </w:rPr>
        <w:t xml:space="preserve">No authority is shown to alienate property. </w:t>
      </w:r>
      <w:r w:rsidRPr="004761ED">
        <w:rPr>
          <w:sz w:val="28"/>
          <w:szCs w:val="28"/>
        </w:rPr>
        <w:t>Under Clause 1, the Managing Trustee holds the property only on behalf of the Trust; the Deed gives no power to lease it to an outsider. Section 11 permits departure from the Deed only with beneficiary consent, never sought here.</w:t>
      </w:r>
    </w:p>
    <w:p w14:paraId="7358312F" w14:textId="50633E8B" w:rsidR="002E3AAF" w:rsidRPr="004761ED" w:rsidRDefault="002E3AAF" w:rsidP="004761ED">
      <w:pPr>
        <w:pStyle w:val="BlueCitation"/>
        <w:spacing w:before="0" w:line="240" w:lineRule="auto"/>
        <w:contextualSpacing w:val="0"/>
        <w:rPr>
          <w:sz w:val="28"/>
          <w:szCs w:val="28"/>
        </w:rPr>
      </w:pPr>
      <w:proofErr w:type="spellStart"/>
      <w:r w:rsidRPr="004761ED">
        <w:rPr>
          <w:sz w:val="28"/>
          <w:szCs w:val="28"/>
        </w:rPr>
        <w:t>Khasgi</w:t>
      </w:r>
      <w:proofErr w:type="spellEnd"/>
      <w:r w:rsidRPr="004761ED">
        <w:rPr>
          <w:sz w:val="28"/>
          <w:szCs w:val="28"/>
        </w:rPr>
        <w:t xml:space="preserve"> Trust v. Vipin Dhanaitkar, [2022] 17 SCR 173: trustees must not deal with Trust property as private property. M.V. </w:t>
      </w:r>
      <w:proofErr w:type="spellStart"/>
      <w:r w:rsidRPr="004761ED">
        <w:rPr>
          <w:sz w:val="28"/>
          <w:szCs w:val="28"/>
        </w:rPr>
        <w:t>Ramasubbier</w:t>
      </w:r>
      <w:proofErr w:type="spellEnd"/>
      <w:r w:rsidRPr="004761ED">
        <w:rPr>
          <w:sz w:val="28"/>
          <w:szCs w:val="28"/>
        </w:rPr>
        <w:t xml:space="preserve"> v. Manicka Narasimhachari, [1979] 2 SCR 1177: a trustee must act reasonably and in good faith; unjustified dealing is breach of trust. Leasing over beneficiaries' heads and without Clause 17 consent cannot be protected.</w:t>
      </w:r>
    </w:p>
    <w:p w14:paraId="3B7D1150" w14:textId="77777777" w:rsidR="00772E5B" w:rsidRPr="004761ED" w:rsidRDefault="00000000" w:rsidP="004761ED">
      <w:pPr>
        <w:pStyle w:val="Heading3"/>
      </w:pPr>
      <w:r w:rsidRPr="004761ED">
        <w:t>The lease is void</w:t>
      </w:r>
    </w:p>
    <w:p w14:paraId="5EAB0365" w14:textId="0DE4640E" w:rsidR="00F103C6" w:rsidRPr="004761ED" w:rsidRDefault="00000000" w:rsidP="004761ED">
      <w:pPr>
        <w:pStyle w:val="ListNumber"/>
        <w:spacing w:before="0" w:after="0" w:line="240" w:lineRule="auto"/>
        <w:contextualSpacing w:val="0"/>
        <w:rPr>
          <w:sz w:val="28"/>
          <w:szCs w:val="28"/>
        </w:rPr>
      </w:pPr>
      <w:r w:rsidRPr="004761ED">
        <w:rPr>
          <w:rStyle w:val="Strong"/>
          <w:sz w:val="28"/>
          <w:szCs w:val="28"/>
        </w:rPr>
        <w:t>The purported lease is void for want of registration jurisdiction.</w:t>
      </w:r>
      <w:r w:rsidRPr="004761ED">
        <w:rPr>
          <w:sz w:val="28"/>
          <w:szCs w:val="28"/>
        </w:rPr>
        <w:t xml:space="preserve"> The Trust property lies in Cheppad, Alappuzha. Yet it was registered at </w:t>
      </w:r>
      <w:proofErr w:type="spellStart"/>
      <w:r w:rsidRPr="004761ED">
        <w:rPr>
          <w:sz w:val="28"/>
          <w:szCs w:val="28"/>
        </w:rPr>
        <w:t>Maradu</w:t>
      </w:r>
      <w:proofErr w:type="spellEnd"/>
      <w:r w:rsidRPr="004761ED">
        <w:rPr>
          <w:sz w:val="28"/>
          <w:szCs w:val="28"/>
        </w:rPr>
        <w:t xml:space="preserve"> SRO, Ernakulam. </w:t>
      </w:r>
      <w:proofErr w:type="spellStart"/>
      <w:r w:rsidRPr="004761ED">
        <w:rPr>
          <w:sz w:val="28"/>
          <w:szCs w:val="28"/>
        </w:rPr>
        <w:t>Maradu</w:t>
      </w:r>
      <w:proofErr w:type="spellEnd"/>
      <w:r w:rsidRPr="004761ED">
        <w:rPr>
          <w:sz w:val="28"/>
          <w:szCs w:val="28"/>
        </w:rPr>
        <w:t xml:space="preserve"> had no jurisdiction under Section 28 of the Registration Act, 1908. The registration is void and the purported lease is inadmissible under Section 49.</w:t>
      </w:r>
    </w:p>
    <w:p w14:paraId="5C87A8C9" w14:textId="7777777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The registering office was falsely described.</w:t>
      </w:r>
      <w:r w:rsidRPr="004761ED">
        <w:rPr>
          <w:sz w:val="28"/>
          <w:szCs w:val="28"/>
        </w:rPr>
        <w:t xml:space="preserve"> In the affidavit dated 18/05/2026 the 2nd Defendant called it the “Marad, Alappuzha Sub-Registrar’s Office.” No such office exists.</w:t>
      </w:r>
    </w:p>
    <w:p w14:paraId="5B63201A" w14:textId="7777777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Every Trust deed was registered at Cheppad SRO.</w:t>
      </w:r>
      <w:r w:rsidRPr="004761ED">
        <w:rPr>
          <w:sz w:val="28"/>
          <w:szCs w:val="28"/>
        </w:rPr>
        <w:t xml:space="preserve"> This purported lease alone was taken to </w:t>
      </w:r>
      <w:proofErr w:type="spellStart"/>
      <w:r w:rsidRPr="004761ED">
        <w:rPr>
          <w:sz w:val="28"/>
          <w:szCs w:val="28"/>
        </w:rPr>
        <w:t>Maradu</w:t>
      </w:r>
      <w:proofErr w:type="spellEnd"/>
      <w:r w:rsidRPr="004761ED">
        <w:rPr>
          <w:sz w:val="28"/>
          <w:szCs w:val="28"/>
        </w:rPr>
        <w:t>. This was not good faith. It kept the transaction away from local scrutiny, the Plaintiff, and this Court.</w:t>
      </w:r>
    </w:p>
    <w:p w14:paraId="11CB28BC" w14:textId="77777777" w:rsidR="002E3AAF" w:rsidRPr="004761ED" w:rsidRDefault="002E3AAF" w:rsidP="004761ED">
      <w:pPr>
        <w:pStyle w:val="BlueCitation"/>
        <w:spacing w:before="0" w:line="240" w:lineRule="auto"/>
        <w:contextualSpacing w:val="0"/>
        <w:rPr>
          <w:sz w:val="28"/>
          <w:szCs w:val="28"/>
        </w:rPr>
      </w:pPr>
      <w:r w:rsidRPr="004761ED">
        <w:rPr>
          <w:rStyle w:val="Emphasis"/>
          <w:i/>
          <w:iCs w:val="0"/>
          <w:sz w:val="28"/>
          <w:szCs w:val="28"/>
        </w:rPr>
        <w:t>Harendra Lal Roy Chowdhuri v. Hari Dasi Debi, (1914) 41 I.A. 110 (PC): registration where no property lies within the office’s jurisdiction is fraud on registration law and invalid. Miss Dottie Karan v. Lachmi Prasad Sinha, AIR 1931 PC 52: Section 87 does not save want of jurisdiction in the registering officer.</w:t>
      </w:r>
    </w:p>
    <w:p w14:paraId="04D373AB" w14:textId="77777777" w:rsidR="00772E5B" w:rsidRPr="004761ED" w:rsidRDefault="00000000" w:rsidP="004761ED">
      <w:pPr>
        <w:pStyle w:val="Heading3"/>
      </w:pPr>
      <w:r w:rsidRPr="004761ED">
        <w:t>Discovery (I.A. 6/2026)</w:t>
      </w:r>
    </w:p>
    <w:p w14:paraId="3F092204" w14:textId="7777777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I.A. 6/2026 is not a second bite.</w:t>
      </w:r>
      <w:r w:rsidRPr="004761ED">
        <w:rPr>
          <w:sz w:val="28"/>
          <w:szCs w:val="28"/>
        </w:rPr>
        <w:t xml:space="preserve"> It is the direct answer to the false “dormant trust / no documents” affidavit. This Trust amended deeds, renovated buildings, paid fees, claimed employees, opened a bank account, filed O.S. 243/2024 and executed the purported lease. It cannot say no records exist.</w:t>
      </w:r>
    </w:p>
    <w:p w14:paraId="5C6AC473" w14:textId="77777777" w:rsidR="00772E5B" w:rsidRPr="004761ED" w:rsidRDefault="00000000" w:rsidP="004761ED">
      <w:pPr>
        <w:pStyle w:val="ListNumber2"/>
        <w:spacing w:line="240" w:lineRule="auto"/>
        <w:contextualSpacing w:val="0"/>
        <w:rPr>
          <w:sz w:val="28"/>
          <w:szCs w:val="28"/>
        </w:rPr>
      </w:pPr>
      <w:r w:rsidRPr="004761ED">
        <w:rPr>
          <w:rStyle w:val="Emphasis"/>
          <w:sz w:val="28"/>
          <w:szCs w:val="28"/>
        </w:rPr>
        <w:lastRenderedPageBreak/>
        <w:t>Their own production is internally unreliable.</w:t>
      </w:r>
      <w:r w:rsidRPr="004761ED">
        <w:rPr>
          <w:sz w:val="28"/>
          <w:szCs w:val="28"/>
        </w:rPr>
        <w:t xml:space="preserve"> The 16/02/2026 reply says the account started on 26/05/2025. The 18/05/2026 application says 28/05/2025. The statement period is shown as 28/05/2005 to 15/05/2026 — twenty years off.</w:t>
      </w:r>
    </w:p>
    <w:p w14:paraId="06FF572F" w14:textId="77777777" w:rsidR="00772E5B" w:rsidRPr="004761ED" w:rsidRDefault="00000000" w:rsidP="004761ED">
      <w:pPr>
        <w:pStyle w:val="ListNumber2"/>
        <w:spacing w:line="240" w:lineRule="auto"/>
        <w:contextualSpacing w:val="0"/>
        <w:rPr>
          <w:sz w:val="28"/>
          <w:szCs w:val="28"/>
        </w:rPr>
      </w:pPr>
      <w:r w:rsidRPr="004761ED">
        <w:rPr>
          <w:rStyle w:val="Emphasis"/>
          <w:sz w:val="28"/>
          <w:szCs w:val="28"/>
        </w:rPr>
        <w:t>The Defendants’ facts change with convenience.</w:t>
      </w:r>
      <w:r w:rsidRPr="004761ED">
        <w:rPr>
          <w:sz w:val="28"/>
          <w:szCs w:val="28"/>
        </w:rPr>
        <w:t xml:space="preserve"> In O.S. 243/2024 the Trust was pleaded under Reg. No. 17/IV/2024. In the 18/05/2026 application it becomes Reg. No. 2/IV/2007.</w:t>
      </w:r>
    </w:p>
    <w:p w14:paraId="0CC04CAA" w14:textId="77777777" w:rsidR="00772E5B" w:rsidRPr="004761ED" w:rsidRDefault="00000000" w:rsidP="004761ED">
      <w:pPr>
        <w:pStyle w:val="Heading3"/>
      </w:pPr>
      <w:r w:rsidRPr="004761ED">
        <w:t>Consequence</w:t>
      </w:r>
    </w:p>
    <w:p w14:paraId="1D611DB9" w14:textId="0FE7A5F8" w:rsidR="002156C9" w:rsidRPr="004761ED" w:rsidRDefault="002156C9" w:rsidP="004761ED">
      <w:pPr>
        <w:pStyle w:val="ListNumber"/>
        <w:spacing w:before="0" w:after="0" w:line="240" w:lineRule="auto"/>
        <w:contextualSpacing w:val="0"/>
        <w:rPr>
          <w:sz w:val="28"/>
          <w:szCs w:val="28"/>
        </w:rPr>
      </w:pPr>
      <w:r w:rsidRPr="004761ED">
        <w:rPr>
          <w:b/>
          <w:bCs/>
          <w:sz w:val="28"/>
          <w:szCs w:val="28"/>
        </w:rPr>
        <w:t xml:space="preserve">An adverse inference is warranted. </w:t>
      </w:r>
      <w:r w:rsidRPr="004761ED">
        <w:rPr>
          <w:sz w:val="28"/>
          <w:szCs w:val="28"/>
        </w:rPr>
        <w:t>Records were first withheld on oath as unavailable, then produced selectively once I.A. 5/2025 was closed. The Court should presume they were withheld because they did not help the Defendants.</w:t>
      </w:r>
    </w:p>
    <w:p w14:paraId="31BDF409" w14:textId="0712C1A7" w:rsidR="002156C9" w:rsidRPr="004761ED" w:rsidRDefault="002156C9" w:rsidP="004761ED">
      <w:pPr>
        <w:pStyle w:val="ListNumber"/>
        <w:spacing w:before="0" w:after="0" w:line="240" w:lineRule="auto"/>
        <w:contextualSpacing w:val="0"/>
        <w:rPr>
          <w:sz w:val="28"/>
          <w:szCs w:val="28"/>
        </w:rPr>
      </w:pPr>
      <w:r w:rsidRPr="004761ED">
        <w:rPr>
          <w:rStyle w:val="Strong"/>
          <w:sz w:val="28"/>
          <w:szCs w:val="28"/>
        </w:rPr>
        <w:t>The false affidavit justifies adverse inference</w:t>
      </w:r>
      <w:r w:rsidRPr="004761ED">
        <w:rPr>
          <w:sz w:val="28"/>
          <w:szCs w:val="28"/>
        </w:rPr>
        <w:t xml:space="preserve"> and, if necessary, separate action for false evidence. In Re: R. Karuppan, (2001) 5 SCC 289, holds that a person swearing a false affidavit is guilty of perjury; Swaran Singh v. State of Punjab, (2000) 5 SCC 668, warns that perjury has become a way of life when courts decline to act. For present purposes, it is enough that the Defendants cannot claim equity from records first sworn unavailable and later produced by them.</w:t>
      </w:r>
    </w:p>
    <w:p w14:paraId="418638DC" w14:textId="0F4BD055" w:rsidR="00E91EF5" w:rsidRPr="004761ED" w:rsidRDefault="00E91EF5" w:rsidP="004761ED">
      <w:pPr>
        <w:pStyle w:val="Heading4"/>
        <w:spacing w:before="0" w:after="0"/>
        <w:contextualSpacing w:val="0"/>
        <w:rPr>
          <w:sz w:val="28"/>
          <w:szCs w:val="28"/>
        </w:rPr>
      </w:pPr>
      <w:r w:rsidRPr="004761ED">
        <w:rPr>
          <w:sz w:val="28"/>
          <w:szCs w:val="28"/>
        </w:rPr>
        <w:t>In Re: Suo Motu Proceedings against R. Karuppan, Advocate, (2001) 5 SCC 289, recognizes that a false affidavit strikes at the administration of justice. The present issue is therefore not punitive excess, but the reliability of the affidavit on which I.A. 5/2025 was closed.</w:t>
      </w:r>
    </w:p>
    <w:p w14:paraId="54DBD063" w14:textId="55CAFB1F" w:rsidR="00772E5B" w:rsidRPr="004761ED" w:rsidRDefault="00000000" w:rsidP="004761ED">
      <w:pPr>
        <w:pStyle w:val="Heading3"/>
      </w:pPr>
      <w:r w:rsidRPr="004761ED">
        <w:t>Injunction tests</w:t>
      </w:r>
    </w:p>
    <w:p w14:paraId="0FD6407B" w14:textId="05BAE1EF" w:rsidR="00772E5B" w:rsidRPr="004761ED" w:rsidRDefault="00000000" w:rsidP="004761ED">
      <w:pPr>
        <w:pStyle w:val="ListNumber"/>
        <w:spacing w:before="0" w:after="0" w:line="240" w:lineRule="auto"/>
        <w:contextualSpacing w:val="0"/>
        <w:rPr>
          <w:sz w:val="28"/>
          <w:szCs w:val="28"/>
        </w:rPr>
      </w:pPr>
      <w:r w:rsidRPr="004761ED">
        <w:rPr>
          <w:b/>
          <w:sz w:val="28"/>
          <w:szCs w:val="28"/>
        </w:rPr>
        <w:t xml:space="preserve">Prima facie case. </w:t>
      </w:r>
      <w:r w:rsidRPr="004761ED">
        <w:rPr>
          <w:sz w:val="28"/>
          <w:szCs w:val="28"/>
        </w:rPr>
        <w:t>The Plaintiff’s beneficiary right is prima facie established by Deed 2/IV/2007 and reinforced by the High Court’s direction in WP(C) 31247/2025 to issue him certified copies of all three Book IV Trust instruments, which are not issued to strangers. On 03/12/2025 this Court itself could not accept that he has no right over the property. The purported lease was suppressed, pendente lite, unauthorized, and inconsistent with the dormancy affidavit.</w:t>
      </w:r>
    </w:p>
    <w:p w14:paraId="29747258" w14:textId="44ADA256" w:rsidR="00772E5B" w:rsidRPr="004761ED" w:rsidRDefault="00000000" w:rsidP="004761ED">
      <w:pPr>
        <w:pStyle w:val="ListNumber2"/>
        <w:spacing w:line="240" w:lineRule="auto"/>
        <w:contextualSpacing w:val="0"/>
        <w:rPr>
          <w:sz w:val="28"/>
          <w:szCs w:val="28"/>
        </w:rPr>
      </w:pPr>
      <w:r w:rsidRPr="004761ED">
        <w:rPr>
          <w:rStyle w:val="Emphasis"/>
          <w:sz w:val="28"/>
          <w:szCs w:val="28"/>
        </w:rPr>
        <w:t>The Court need not finally decide the Plaintiff’s status or the purported lease’s validity.</w:t>
      </w:r>
      <w:r w:rsidRPr="004761ED">
        <w:rPr>
          <w:sz w:val="28"/>
          <w:szCs w:val="28"/>
        </w:rPr>
        <w:t xml:space="preserve"> It need only hold that a suppressed, pendente lite document cannot be treated as protected status quo. The relief rests on the trustees’ conduct, not on the merits.</w:t>
      </w:r>
    </w:p>
    <w:p w14:paraId="735374A1" w14:textId="24EE632E" w:rsidR="00772E5B" w:rsidRPr="004761ED" w:rsidRDefault="00000000" w:rsidP="004761ED">
      <w:pPr>
        <w:pStyle w:val="ListNumber"/>
        <w:spacing w:before="0" w:after="0" w:line="240" w:lineRule="auto"/>
        <w:contextualSpacing w:val="0"/>
        <w:rPr>
          <w:sz w:val="28"/>
          <w:szCs w:val="28"/>
        </w:rPr>
      </w:pPr>
      <w:r w:rsidRPr="004761ED">
        <w:rPr>
          <w:b/>
          <w:sz w:val="28"/>
          <w:szCs w:val="28"/>
        </w:rPr>
        <w:t xml:space="preserve">Balance of convenience. </w:t>
      </w:r>
      <w:r w:rsidRPr="004761ED">
        <w:rPr>
          <w:sz w:val="28"/>
          <w:szCs w:val="28"/>
        </w:rPr>
        <w:t xml:space="preserve">Any inconvenience now claimed is self-created. The company was created after all three suits and is a pendente lite transferee bound by Section 52 of the Transfer of Property Act. Lis pendens, not equity, governs. There is no delay: the </w:t>
      </w:r>
      <w:r w:rsidRPr="004761ED">
        <w:rPr>
          <w:sz w:val="28"/>
          <w:szCs w:val="28"/>
        </w:rPr>
        <w:lastRenderedPageBreak/>
        <w:t>Plaintiff disclosed the concealed lease in his rejoinder dated 13/03/2026 and applied at once.</w:t>
      </w:r>
    </w:p>
    <w:p w14:paraId="63AE3C72" w14:textId="77777777" w:rsidR="00772E5B" w:rsidRPr="004761ED" w:rsidRDefault="00000000" w:rsidP="004761ED">
      <w:pPr>
        <w:pStyle w:val="ListNumber"/>
        <w:spacing w:before="0" w:after="0" w:line="240" w:lineRule="auto"/>
        <w:contextualSpacing w:val="0"/>
        <w:rPr>
          <w:sz w:val="28"/>
          <w:szCs w:val="28"/>
        </w:rPr>
      </w:pPr>
      <w:r w:rsidRPr="004761ED">
        <w:rPr>
          <w:rStyle w:val="Strong"/>
          <w:sz w:val="28"/>
          <w:szCs w:val="28"/>
        </w:rPr>
        <w:t>Irreparable injury.</w:t>
      </w:r>
      <w:r w:rsidRPr="004761ED">
        <w:rPr>
          <w:sz w:val="28"/>
          <w:szCs w:val="28"/>
        </w:rPr>
        <w:t xml:space="preserve"> The Plaintiff is excluded from his ancestral property while a private company operates publicly from it. Loss of access and accountability cannot be repaired by damages.</w:t>
      </w:r>
    </w:p>
    <w:sectPr w:rsidR="00772E5B" w:rsidRPr="004761ED">
      <w:pgSz w:w="11906" w:h="16838"/>
      <w:pgMar w:top="1440" w:right="1440" w:bottom="1440" w:left="216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2C3D"/>
    <w:multiLevelType w:val="multilevel"/>
    <w:tmpl w:val="62E67AA6"/>
    <w:lvl w:ilvl="0">
      <w:start w:val="1"/>
      <w:numFmt w:val="decimal"/>
      <w:pStyle w:val="ListNumber"/>
      <w:lvlText w:val="%1)"/>
      <w:lvlJc w:val="left"/>
      <w:pPr>
        <w:ind w:left="360" w:hanging="360"/>
      </w:pPr>
    </w:lvl>
    <w:lvl w:ilvl="1">
      <w:start w:val="1"/>
      <w:numFmt w:val="upperLetter"/>
      <w:pStyle w:val="ListNumber2"/>
      <w:lvlText w:val="%2)"/>
      <w:lvlJc w:val="left"/>
      <w:pPr>
        <w:ind w:left="720" w:hanging="360"/>
      </w:pPr>
    </w:lvl>
    <w:lvl w:ilvl="2">
      <w:start w:val="1"/>
      <w:numFmt w:val="lowerRoman"/>
      <w:pStyle w:val="ListNumber3"/>
      <w:lvlText w:val="%3)"/>
      <w:lvlJc w:val="left"/>
      <w:pPr>
        <w:ind w:left="1080" w:hanging="360"/>
      </w:pPr>
    </w:lvl>
    <w:lvl w:ilvl="3">
      <w:start w:val="1"/>
      <w:numFmt w:val="lowerLetter"/>
      <w:pStyle w:val="ListNumber4"/>
      <w:lvlText w:val="%4)"/>
      <w:lvlJc w:val="left"/>
      <w:pPr>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54751F"/>
    <w:multiLevelType w:val="hybridMultilevel"/>
    <w:tmpl w:val="5D702D68"/>
    <w:lvl w:ilvl="0" w:tplc="22BCDD00">
      <w:start w:val="1"/>
      <w:numFmt w:val="bullet"/>
      <w:lvlText w:val=""/>
      <w:lvlJc w:val="left"/>
      <w:pPr>
        <w:ind w:left="720" w:hanging="360"/>
      </w:pPr>
      <w:rPr>
        <w:rFonts w:ascii="Wingdings" w:hAnsi="Wingdings"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6D30A2"/>
    <w:multiLevelType w:val="hybridMultilevel"/>
    <w:tmpl w:val="9C107F86"/>
    <w:lvl w:ilvl="0" w:tplc="B316C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F3ADC"/>
    <w:multiLevelType w:val="hybridMultilevel"/>
    <w:tmpl w:val="6E2CF4D8"/>
    <w:lvl w:ilvl="0" w:tplc="990E4E18">
      <w:start w:val="1"/>
      <w:numFmt w:val="bullet"/>
      <w:lvlText w:val=""/>
      <w:lvlJc w:val="left"/>
      <w:pPr>
        <w:ind w:left="720" w:hanging="360"/>
      </w:pPr>
      <w:rPr>
        <w:rFonts w:ascii="Wingdings" w:hAnsi="Wingdings" w:hint="default"/>
        <w:sz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080C13"/>
    <w:multiLevelType w:val="hybridMultilevel"/>
    <w:tmpl w:val="D20E2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43571"/>
    <w:multiLevelType w:val="hybridMultilevel"/>
    <w:tmpl w:val="2DA6951A"/>
    <w:lvl w:ilvl="0" w:tplc="8D7EC322">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28EF0E1F"/>
    <w:multiLevelType w:val="hybridMultilevel"/>
    <w:tmpl w:val="CAFCB034"/>
    <w:lvl w:ilvl="0" w:tplc="447CB1F4">
      <w:start w:val="1"/>
      <w:numFmt w:val="bullet"/>
      <w:lvlText w:val="●"/>
      <w:lvlJc w:val="left"/>
      <w:pPr>
        <w:ind w:left="720" w:hanging="360"/>
      </w:pPr>
    </w:lvl>
    <w:lvl w:ilvl="1" w:tplc="743E1184">
      <w:start w:val="1"/>
      <w:numFmt w:val="bullet"/>
      <w:lvlText w:val="○"/>
      <w:lvlJc w:val="left"/>
      <w:pPr>
        <w:ind w:left="1440" w:hanging="360"/>
      </w:pPr>
    </w:lvl>
    <w:lvl w:ilvl="2" w:tplc="71902284">
      <w:start w:val="1"/>
      <w:numFmt w:val="bullet"/>
      <w:lvlText w:val="■"/>
      <w:lvlJc w:val="left"/>
      <w:pPr>
        <w:ind w:left="2160" w:hanging="360"/>
      </w:pPr>
    </w:lvl>
    <w:lvl w:ilvl="3" w:tplc="96A0EE74">
      <w:start w:val="1"/>
      <w:numFmt w:val="bullet"/>
      <w:lvlText w:val="●"/>
      <w:lvlJc w:val="left"/>
      <w:pPr>
        <w:ind w:left="2880" w:hanging="360"/>
      </w:pPr>
    </w:lvl>
    <w:lvl w:ilvl="4" w:tplc="7B4A5276">
      <w:start w:val="1"/>
      <w:numFmt w:val="bullet"/>
      <w:lvlText w:val="○"/>
      <w:lvlJc w:val="left"/>
      <w:pPr>
        <w:ind w:left="3600" w:hanging="360"/>
      </w:pPr>
    </w:lvl>
    <w:lvl w:ilvl="5" w:tplc="E698F086">
      <w:start w:val="1"/>
      <w:numFmt w:val="bullet"/>
      <w:lvlText w:val="■"/>
      <w:lvlJc w:val="left"/>
      <w:pPr>
        <w:ind w:left="4320" w:hanging="360"/>
      </w:pPr>
    </w:lvl>
    <w:lvl w:ilvl="6" w:tplc="0A967F74">
      <w:start w:val="1"/>
      <w:numFmt w:val="bullet"/>
      <w:lvlText w:val="●"/>
      <w:lvlJc w:val="left"/>
      <w:pPr>
        <w:ind w:left="5040" w:hanging="360"/>
      </w:pPr>
    </w:lvl>
    <w:lvl w:ilvl="7" w:tplc="2B1C152E">
      <w:start w:val="1"/>
      <w:numFmt w:val="bullet"/>
      <w:lvlText w:val="●"/>
      <w:lvlJc w:val="left"/>
      <w:pPr>
        <w:ind w:left="5760" w:hanging="360"/>
      </w:pPr>
    </w:lvl>
    <w:lvl w:ilvl="8" w:tplc="C72A4602">
      <w:start w:val="1"/>
      <w:numFmt w:val="bullet"/>
      <w:lvlText w:val="●"/>
      <w:lvlJc w:val="left"/>
      <w:pPr>
        <w:ind w:left="6480" w:hanging="360"/>
      </w:pPr>
    </w:lvl>
  </w:abstractNum>
  <w:abstractNum w:abstractNumId="7" w15:restartNumberingAfterBreak="0">
    <w:nsid w:val="3D952F14"/>
    <w:multiLevelType w:val="hybridMultilevel"/>
    <w:tmpl w:val="9F60AB22"/>
    <w:lvl w:ilvl="0" w:tplc="C78A9318">
      <w:start w:val="1"/>
      <w:numFmt w:val="decimal"/>
      <w:lvlText w:val="%1."/>
      <w:lvlJc w:val="left"/>
      <w:pPr>
        <w:ind w:left="540" w:hanging="360"/>
      </w:pPr>
    </w:lvl>
    <w:lvl w:ilvl="1" w:tplc="858E39DC">
      <w:numFmt w:val="decimal"/>
      <w:lvlText w:val=""/>
      <w:lvlJc w:val="left"/>
    </w:lvl>
    <w:lvl w:ilvl="2" w:tplc="0EA899EE">
      <w:numFmt w:val="decimal"/>
      <w:lvlText w:val=""/>
      <w:lvlJc w:val="left"/>
    </w:lvl>
    <w:lvl w:ilvl="3" w:tplc="B42C9024">
      <w:numFmt w:val="decimal"/>
      <w:lvlText w:val=""/>
      <w:lvlJc w:val="left"/>
    </w:lvl>
    <w:lvl w:ilvl="4" w:tplc="2460D896">
      <w:numFmt w:val="decimal"/>
      <w:lvlText w:val=""/>
      <w:lvlJc w:val="left"/>
    </w:lvl>
    <w:lvl w:ilvl="5" w:tplc="AE768230">
      <w:numFmt w:val="decimal"/>
      <w:lvlText w:val=""/>
      <w:lvlJc w:val="left"/>
    </w:lvl>
    <w:lvl w:ilvl="6" w:tplc="005E7C8A">
      <w:numFmt w:val="decimal"/>
      <w:lvlText w:val=""/>
      <w:lvlJc w:val="left"/>
    </w:lvl>
    <w:lvl w:ilvl="7" w:tplc="3E82954C">
      <w:numFmt w:val="decimal"/>
      <w:lvlText w:val=""/>
      <w:lvlJc w:val="left"/>
    </w:lvl>
    <w:lvl w:ilvl="8" w:tplc="15781008">
      <w:numFmt w:val="decimal"/>
      <w:lvlText w:val=""/>
      <w:lvlJc w:val="left"/>
    </w:lvl>
  </w:abstractNum>
  <w:abstractNum w:abstractNumId="8" w15:restartNumberingAfterBreak="0">
    <w:nsid w:val="4D087F91"/>
    <w:multiLevelType w:val="hybridMultilevel"/>
    <w:tmpl w:val="2B62CBF0"/>
    <w:lvl w:ilvl="0" w:tplc="661A893A">
      <w:start w:val="1"/>
      <w:numFmt w:val="bullet"/>
      <w:pStyle w:val="Bulleting"/>
      <w:lvlText w:val="o"/>
      <w:lvlJc w:val="left"/>
      <w:pPr>
        <w:ind w:left="720" w:hanging="360"/>
      </w:pPr>
      <w:rPr>
        <w:rFonts w:ascii="Courier New" w:hAnsi="Courier New" w:cs="Courier New"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0000010">
    <w:abstractNumId w:val="0"/>
  </w:num>
  <w:num w:numId="2" w16cid:durableId="565844637">
    <w:abstractNumId w:val="6"/>
    <w:lvlOverride w:ilvl="0">
      <w:startOverride w:val="1"/>
    </w:lvlOverride>
  </w:num>
  <w:num w:numId="3" w16cid:durableId="1198933248">
    <w:abstractNumId w:val="7"/>
    <w:lvlOverride w:ilvl="0">
      <w:startOverride w:val="1"/>
    </w:lvlOverride>
  </w:num>
  <w:num w:numId="4" w16cid:durableId="1995599583">
    <w:abstractNumId w:val="5"/>
  </w:num>
  <w:num w:numId="5" w16cid:durableId="800919768">
    <w:abstractNumId w:val="2"/>
  </w:num>
  <w:num w:numId="6" w16cid:durableId="78869562">
    <w:abstractNumId w:val="4"/>
  </w:num>
  <w:num w:numId="7" w16cid:durableId="1464545086">
    <w:abstractNumId w:val="3"/>
  </w:num>
  <w:num w:numId="8" w16cid:durableId="2065131247">
    <w:abstractNumId w:val="1"/>
  </w:num>
  <w:num w:numId="9" w16cid:durableId="583689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E2A"/>
    <w:rsid w:val="001437AD"/>
    <w:rsid w:val="002156C9"/>
    <w:rsid w:val="002E3AAF"/>
    <w:rsid w:val="002F3658"/>
    <w:rsid w:val="00305FBE"/>
    <w:rsid w:val="003064AE"/>
    <w:rsid w:val="00380C6B"/>
    <w:rsid w:val="004727B2"/>
    <w:rsid w:val="004761ED"/>
    <w:rsid w:val="005E1E2A"/>
    <w:rsid w:val="006C2517"/>
    <w:rsid w:val="0070343F"/>
    <w:rsid w:val="0070642C"/>
    <w:rsid w:val="007241C8"/>
    <w:rsid w:val="00772E5B"/>
    <w:rsid w:val="007E392F"/>
    <w:rsid w:val="00867255"/>
    <w:rsid w:val="009C5582"/>
    <w:rsid w:val="00A7705A"/>
    <w:rsid w:val="00B45AA1"/>
    <w:rsid w:val="00B617BD"/>
    <w:rsid w:val="00C2748D"/>
    <w:rsid w:val="00C67886"/>
    <w:rsid w:val="00CA2FCA"/>
    <w:rsid w:val="00D61212"/>
    <w:rsid w:val="00DD25D7"/>
    <w:rsid w:val="00DD7E9D"/>
    <w:rsid w:val="00E91EF5"/>
    <w:rsid w:val="00EC1CDF"/>
    <w:rsid w:val="00F1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73EE7"/>
  <w15:docId w15:val="{A6E0A70C-CE1F-7142-954E-33C1A25A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517"/>
    <w:pPr>
      <w:snapToGrid w:val="0"/>
      <w:spacing w:before="240" w:line="276" w:lineRule="auto"/>
      <w:contextualSpacing/>
      <w:jc w:val="both"/>
    </w:pPr>
    <w:rPr>
      <w:rFonts w:ascii="Cambria" w:hAnsi="Cambria"/>
      <w:spacing w:val="-12"/>
    </w:rPr>
  </w:style>
  <w:style w:type="paragraph" w:styleId="Heading1">
    <w:name w:val="heading 1"/>
    <w:uiPriority w:val="9"/>
    <w:qFormat/>
    <w:rsid w:val="004761ED"/>
    <w:pPr>
      <w:snapToGrid w:val="0"/>
      <w:spacing w:before="120" w:after="120" w:line="240" w:lineRule="auto"/>
      <w:jc w:val="center"/>
      <w:outlineLvl w:val="0"/>
    </w:pPr>
    <w:rPr>
      <w:rFonts w:ascii="HELVETICA NEUE CONDENSED" w:hAnsi="HELVETICA NEUE CONDENSED"/>
      <w:b/>
      <w:bCs/>
      <w:caps/>
      <w:color w:val="2E74B5"/>
      <w:spacing w:val="-8"/>
      <w:sz w:val="72"/>
      <w:szCs w:val="72"/>
    </w:rPr>
  </w:style>
  <w:style w:type="paragraph" w:styleId="Heading2">
    <w:name w:val="heading 2"/>
    <w:basedOn w:val="Normal"/>
    <w:uiPriority w:val="9"/>
    <w:qFormat/>
    <w:rsid w:val="004761ED"/>
    <w:pPr>
      <w:spacing w:before="120" w:after="120" w:line="240" w:lineRule="auto"/>
      <w:outlineLvl w:val="1"/>
    </w:pPr>
    <w:rPr>
      <w:rFonts w:ascii="HELVETICA NEUE CONDENSED" w:hAnsi="HELVETICA NEUE CONDENSED"/>
      <w:b/>
      <w:bCs/>
      <w:caps/>
      <w:spacing w:val="-8"/>
      <w:sz w:val="48"/>
      <w:szCs w:val="48"/>
    </w:rPr>
  </w:style>
  <w:style w:type="paragraph" w:styleId="Heading3">
    <w:name w:val="heading 3"/>
    <w:basedOn w:val="Heading2"/>
    <w:uiPriority w:val="9"/>
    <w:qFormat/>
    <w:rsid w:val="004761ED"/>
    <w:pPr>
      <w:outlineLvl w:val="2"/>
    </w:pPr>
    <w:rPr>
      <w:color w:val="4C94D8" w:themeColor="text2" w:themeTint="80"/>
      <w:sz w:val="40"/>
      <w:szCs w:val="40"/>
    </w:rPr>
  </w:style>
  <w:style w:type="paragraph" w:styleId="Heading4">
    <w:name w:val="heading 4"/>
    <w:basedOn w:val="ListNumber"/>
    <w:uiPriority w:val="9"/>
    <w:qFormat/>
    <w:rsid w:val="00EC1CDF"/>
    <w:pPr>
      <w:numPr>
        <w:numId w:val="0"/>
      </w:numPr>
      <w:spacing w:line="240" w:lineRule="auto"/>
      <w:outlineLvl w:val="3"/>
    </w:pPr>
    <w:rPr>
      <w:i/>
      <w:color w:val="4C94D8" w:themeColor="text2" w:themeTint="80"/>
    </w:rPr>
  </w:style>
  <w:style w:type="paragraph" w:styleId="Heading5">
    <w:name w:val="heading 5"/>
    <w:uiPriority w:val="9"/>
    <w:qFormat/>
    <w:pPr>
      <w:outlineLvl w:val="4"/>
    </w:pPr>
    <w:rPr>
      <w:color w:val="2E74B5"/>
    </w:rPr>
  </w:style>
  <w:style w:type="paragraph" w:styleId="Heading6">
    <w:name w:val="heading 6"/>
    <w:uiPriority w:val="9"/>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ing">
    <w:name w:val="Bulleting"/>
    <w:basedOn w:val="Normal"/>
    <w:qFormat/>
    <w:rsid w:val="005E1E2A"/>
    <w:pPr>
      <w:numPr>
        <w:numId w:val="9"/>
      </w:numPr>
      <w:ind w:left="360"/>
    </w:pPr>
  </w:style>
  <w:style w:type="character" w:styleId="Strong">
    <w:name w:val="Strong"/>
    <w:basedOn w:val="DefaultParagraphFont"/>
    <w:uiPriority w:val="22"/>
    <w:qFormat/>
    <w:rsid w:val="002F3658"/>
    <w:rPr>
      <w:b/>
      <w:bCs/>
    </w:rPr>
  </w:style>
  <w:style w:type="character" w:styleId="Emphasis">
    <w:name w:val="Emphasis"/>
    <w:basedOn w:val="DefaultParagraphFont"/>
    <w:uiPriority w:val="20"/>
    <w:qFormat/>
    <w:rsid w:val="002F3658"/>
    <w:rPr>
      <w:i/>
      <w:iCs/>
    </w:rPr>
  </w:style>
  <w:style w:type="paragraph" w:styleId="ListNumber">
    <w:name w:val="List Number"/>
    <w:basedOn w:val="Normal"/>
    <w:uiPriority w:val="11"/>
    <w:qFormat/>
    <w:rsid w:val="00F103C6"/>
    <w:pPr>
      <w:numPr>
        <w:numId w:val="1"/>
      </w:numPr>
      <w:spacing w:before="120" w:after="120"/>
      <w:ind w:left="540" w:hanging="540"/>
    </w:pPr>
    <w:rPr>
      <w:spacing w:val="-8"/>
    </w:rPr>
  </w:style>
  <w:style w:type="paragraph" w:styleId="ListNumber2">
    <w:name w:val="List Number 2"/>
    <w:basedOn w:val="Normal"/>
    <w:uiPriority w:val="11"/>
    <w:qFormat/>
    <w:rsid w:val="002156C9"/>
    <w:pPr>
      <w:numPr>
        <w:ilvl w:val="1"/>
        <w:numId w:val="1"/>
      </w:numPr>
      <w:spacing w:before="0"/>
      <w:ind w:left="900"/>
    </w:pPr>
    <w:rPr>
      <w:spacing w:val="-8"/>
    </w:rPr>
  </w:style>
  <w:style w:type="paragraph" w:styleId="ListNumber3">
    <w:name w:val="List Number 3"/>
    <w:basedOn w:val="Normal"/>
    <w:uiPriority w:val="11"/>
    <w:qFormat/>
    <w:rsid w:val="005E1E2A"/>
    <w:pPr>
      <w:numPr>
        <w:ilvl w:val="2"/>
        <w:numId w:val="1"/>
      </w:numPr>
      <w:spacing w:before="0"/>
    </w:pPr>
    <w:rPr>
      <w:spacing w:val="-8"/>
    </w:rPr>
  </w:style>
  <w:style w:type="paragraph" w:styleId="ListNumber4">
    <w:name w:val="List Number 4"/>
    <w:basedOn w:val="Normal"/>
    <w:uiPriority w:val="11"/>
    <w:qFormat/>
    <w:rsid w:val="005E1E2A"/>
    <w:pPr>
      <w:numPr>
        <w:ilvl w:val="3"/>
        <w:numId w:val="1"/>
      </w:numPr>
      <w:spacing w:before="0"/>
    </w:pPr>
    <w:rPr>
      <w:spacing w:val="-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lueCitation">
    <w:name w:val="Blue Citation"/>
    <w:basedOn w:val="Normal"/>
    <w:qFormat/>
    <w:rsid w:val="00E91EF5"/>
    <w:rPr>
      <w:i/>
      <w:color w:val="4C94D8" w:themeColor="text2"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Madhavan</dc:creator>
  <cp:lastModifiedBy>Anoop Madhavan</cp:lastModifiedBy>
  <cp:revision>10</cp:revision>
  <dcterms:created xsi:type="dcterms:W3CDTF">2026-06-13T23:38:00Z</dcterms:created>
  <dcterms:modified xsi:type="dcterms:W3CDTF">2026-06-14T02:31:00Z</dcterms:modified>
</cp:coreProperties>
</file>