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7190"/>
      </w:tblGrid>
      <w:tr>
        <w:trPr>
          <w:trHeight w:val="20"/>
        </w:trPr>
        <w:tc>
          <w:tcPr>
            <w:tcW w:w="1450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0" w:type="dxa"/>
              <w:right w:w="140" w:type="dxa"/>
            </w:tcMar>
          </w:tcPr>
          <w:p>
            <w:pPr>
              <w:pStyle w:val="LargeLetter"/>
            </w:pPr>
            <w:r>
              <w:t xml:space="preserve">A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</w:tcMar>
          </w:tcPr>
          <w:p>
            <w:pPr>
              <w:pStyle w:val="Heading11"/>
            </w:pPr>
            <w:r>
              <w:t xml:space="preserve">"Unavailable" എന്നു സത്യം ചെയ്ത രേഖകൾ, പിന്നീട് ഹാജരാക്കി. ഹർജി "infructuous" ആകുമോ? - മുങ്ങിയത് പൊങ്ങിയാൽ, പൊങ്ങിയത് മുങ്ങുമോ?</w:t>
            </w:r>
          </w:p>
        </w:tc>
      </w:tr>
    </w:tbl>
    <w:p>
      <w:pPr>
        <w:pStyle w:val="Heading4"/>
      </w:pPr>
      <w:r>
        <w:t xml:space="preserve">Issue</w:t>
      </w:r>
    </w:p>
    <w:p>
      <w:r>
        <w:t xml:space="preserve">IA 2, 5, 9/2025 "closed" ആയതിനാൽ IA 5/2026 നിഷ്ഫലമാകുമോ - ക്ലോസർ നേടിയത് തെറ്റെന്നു തെളിഞ്ഞ സത്യവാങ്മൂലം കൊണ്ടാണെങ്കിൽ?</w:t>
      </w:r>
    </w:p>
    <w:p>
      <w:pPr>
        <w:pStyle w:val="Heading4"/>
      </w:pPr>
      <w:r>
        <w:t xml:space="preserve">Rule</w:t>
      </w:r>
    </w:p>
    <w:p>
      <w:r>
        <w:t xml:space="preserve">ഉത്തരവ്, IA 5/2025, 04.03.2026: </w:t>
      </w:r>
      <w:r>
        <w:rPr>
          <w:rStyle w:val="Citation"/>
        </w:rPr>
        <w:t xml:space="preserve">"Petition closed in light of the affidavit."</w:t>
      </w:r>
    </w:p>
    <w:p>
      <w:r>
        <w:t xml:space="preserve">ബഹു. കേരള ഹൈക്കോടതി, O.P.(C) 3278/2025, 15.01.2026: </w:t>
      </w:r>
      <w:r>
        <w:rPr>
          <w:rStyle w:val="Citation"/>
        </w:rPr>
        <w:t xml:space="preserve">"...dispose of I.A. No. 2, 5 &amp; 9 of 2025... within three months from today."</w:t>
      </w:r>
    </w:p>
    <w:p>
      <w:r>
        <w:t xml:space="preserve">S.P. Chengalvaraya Naidu v. Jagannath, (1994) 1 SCC 1: </w:t>
      </w:r>
      <w:r>
        <w:rPr>
          <w:rStyle w:val="Citation"/>
        </w:rPr>
        <w:t xml:space="preserve">"...'finality of litigation' cannot be pressed... that it becomes an engine of fraud..."</w:t>
      </w:r>
      <w:r>
        <w:t xml:space="preserve"> </w:t>
      </w:r>
      <w:r>
        <w:rPr>
          <w:rStyle w:val="Citation"/>
        </w:rPr>
        <w:t xml:space="preserve">"If he withholds a vital document... fraud on the court."</w:t>
      </w:r>
    </w:p>
    <w:p>
      <w:r>
        <w:t xml:space="preserve">A.V. Papayya Sastry v. Govt. of A.P., (2007) 4 SCC 221, ഖണ്ഡിക 22: </w:t>
      </w:r>
      <w:r>
        <w:rPr>
          <w:rStyle w:val="Citation"/>
        </w:rPr>
        <w:t xml:space="preserve">"...obtained by playing fraud on the court... is a nullity and non est..."</w:t>
      </w:r>
    </w:p>
    <w:p>
      <w:r>
        <w:t xml:space="preserve">Dalip Singh v. State of U.P., (2010) 2 SCC 114, ഖണ്ഡിക 1: </w:t>
      </w:r>
      <w:r>
        <w:rPr>
          <w:rStyle w:val="Citation"/>
        </w:rPr>
        <w:t xml:space="preserve">"...who attempts to pollute the stream of justice... is not entitled to any relief, interim or final."</w:t>
      </w:r>
    </w:p>
    <w:p>
      <w:pPr>
        <w:pStyle w:val="Heading4"/>
      </w:pPr>
      <w:r>
        <w:t xml:space="preserve">Application</w:t>
      </w:r>
    </w:p>
    <w:p>
      <w:r>
        <w:t xml:space="preserve">D2-വിന്റെ counter affidavit (16.02.2026), ഖണ്ഡിക 4: </w:t>
      </w:r>
      <w:r>
        <w:rPr>
          <w:rStyle w:val="Citation"/>
        </w:rPr>
        <w:t xml:space="preserve">"...any revenue from any source whatsoever"</w:t>
      </w:r>
      <w:r>
        <w:t xml:space="preserve">; ഖണ്ഡിക 6: </w:t>
      </w:r>
      <w:r>
        <w:rPr>
          <w:rStyle w:val="Citation"/>
        </w:rPr>
        <w:t xml:space="preserve">"...dormant entity"</w:t>
      </w:r>
      <w:r>
        <w:t xml:space="preserve">; ഖണ്ഡിക 13: </w:t>
      </w:r>
      <w:r>
        <w:rPr>
          <w:rStyle w:val="Citation"/>
        </w:rPr>
        <w:t xml:space="preserve">"...not available for production..."</w:t>
      </w:r>
    </w:p>
    <w:p>
      <w:r>
        <w:t xml:space="preserve">എന്നാൽ അന്നു നിലവിലുണ്ടായിരുന്നത് - പ്രതികളുടെ Objection (19.06.2026), ഖണ്ഡിക 10: </w:t>
      </w:r>
      <w:r>
        <w:rPr>
          <w:rStyle w:val="Citation"/>
        </w:rPr>
        <w:t xml:space="preserve">"...lease deed No.3237/2025 dated 27/10/2025. Now lessee is conducting business..."</w:t>
      </w:r>
      <w:r>
        <w:t xml:space="preserve">; GST Extract: </w:t>
      </w:r>
      <w:r>
        <w:rPr>
          <w:rStyle w:val="Citation"/>
        </w:rPr>
        <w:t xml:space="preserve">"Effective Date of Registration... 09/12/2025"</w:t>
      </w:r>
      <w:r>
        <w:t xml:space="preserve">; Minutes Book (IA 7/2026 വഴി), പേജ് 17: </w:t>
      </w:r>
      <w:r>
        <w:rPr>
          <w:rStyle w:val="Citation"/>
        </w:rPr>
        <w:t xml:space="preserve">"...ratified and approved unanimously and to start the commercial terms with effect from 1/3/2026."</w:t>
      </w:r>
      <w:r>
        <w:t xml:space="preserve"> - ഇവയൊന്നും അന്നു കോടതിയെ അറിയിച്ചില്ല; പാട്ടം ആദ്യം സമ്മതിച്ചത് 19.06.2026-ലെ Objection-ൽ.</w:t>
      </w:r>
    </w:p>
    <w:p>
      <w:pPr>
        <w:pStyle w:val="Heading4"/>
      </w:pPr>
      <w:r>
        <w:t xml:space="preserve">Conclusion</w:t>
      </w:r>
    </w:p>
    <w:p>
      <w:r>
        <w:t xml:space="preserve">രേഖകൾ മറച്ചുവെച്ച സത്യവാങ്മൂലത്തിന്റെ ബലത്തിലാണ് ക്ലോസർ; 18.05.2026-ൽ പ്രതികൾ തന്നെ ഹാജരാക്കിയവ അതു കള്ളമെന്നു തെളിയിച്ചു. ആ ഹർജിയെ അതേ ക്ലോസർ ചൂണ്ടി infructuous എന്നു പറയാനാവില്ല.</w:t>
      </w:r>
      <w:r>
        <w:br w:type="page"/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7190"/>
      </w:tblGrid>
      <w:tr>
        <w:trPr>
          <w:trHeight w:val="20"/>
        </w:trPr>
        <w:tc>
          <w:tcPr>
            <w:tcW w:w="1450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0" w:type="dxa"/>
              <w:right w:w="140" w:type="dxa"/>
            </w:tcMar>
          </w:tcPr>
          <w:p>
            <w:pPr>
              <w:pStyle w:val="LargeLetter"/>
            </w:pPr>
            <w:r>
              <w:t xml:space="preserve">B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</w:tcMar>
          </w:tcPr>
          <w:p>
            <w:pPr>
              <w:pStyle w:val="Heading11"/>
            </w:pPr>
            <w:r>
              <w:t xml:space="preserve">കേസിനിടെ സൃഷ്ടിച്ച pendente lite പാട്ടം "status quo" ആണോ? - കണ്ണടച്ചാൽ ഇരുട്ടാകുമോ?</w:t>
            </w:r>
          </w:p>
        </w:tc>
      </w:tr>
    </w:tbl>
    <w:p>
      <w:pPr>
        <w:pStyle w:val="Heading4"/>
      </w:pPr>
      <w:r>
        <w:t xml:space="preserve">Issue</w:t>
      </w:r>
    </w:p>
    <w:p>
      <w:r>
        <w:t xml:space="preserve">സംരക്ഷിക്കേണ്ട status quo ഏതാണ് - 12.06.2025-ൽ കേസ് ഫയൽ ചെയ്തപ്പോഴത്തെ അവസ്ഥയോ, ശേഷം പ്രതികൾ സൃഷ്ടിച്ചു മറച്ച വാണിജ്യ കൈവശമോ?</w:t>
      </w:r>
    </w:p>
    <w:p>
      <w:pPr>
        <w:pStyle w:val="Heading4"/>
      </w:pPr>
      <w:r>
        <w:t xml:space="preserve">Rule</w:t>
      </w:r>
    </w:p>
    <w:p>
      <w:r>
        <w:t xml:space="preserve">Jayaram Mudaliar v. Ayyaswami, (1972) 2 SCC 200, ഖണ്ഡിക 14: </w:t>
      </w:r>
      <w:r>
        <w:rPr>
          <w:rStyle w:val="Citation"/>
        </w:rPr>
        <w:t xml:space="preserve">"Parties litigating... may not remove any part of the subject-matter outside the power of the Court..."</w:t>
      </w:r>
    </w:p>
    <w:p>
      <w:r>
        <w:t xml:space="preserve">CELIR LLP v. Sumati Prasad Bafna, 2024 INSC 978, ഖണ്ഡിക 156: </w:t>
      </w:r>
      <w:r>
        <w:rPr>
          <w:rStyle w:val="Citation"/>
        </w:rPr>
        <w:t xml:space="preserve">"...nothing new can be introduced during the pendency... subject to the final outcome of the petition..."</w:t>
      </w:r>
    </w:p>
    <w:p>
      <w:r>
        <w:t xml:space="preserve">Dorab Cawasji Warden v. Coomi Sorab Warden, (1990) 2 SCC 117, ഖണ്ഡിക 16: </w:t>
      </w:r>
      <w:r>
        <w:rPr>
          <w:rStyle w:val="Citation"/>
        </w:rPr>
        <w:t xml:space="preserve">"...preserve or restore the status quo of the last non-contested status which preceded the pending controversy."</w:t>
      </w:r>
    </w:p>
    <w:p>
      <w:pPr>
        <w:pStyle w:val="Heading4"/>
      </w:pPr>
      <w:r>
        <w:t xml:space="preserve">Application</w:t>
      </w:r>
    </w:p>
    <w:p>
      <w:r>
        <w:t xml:space="preserve">12.06.2025 (O.S. 214/2025 ഫയൽ): പാട്ടമില്ല, പാട്ടക്കാരനില്ല, പൊതുപ്രവേശനമില്ല. ശേഷം, കേസ് നിലനിൽക്കെ: പാട്ടം - </w:t>
      </w:r>
      <w:r>
        <w:rPr>
          <w:rStyle w:val="Citation"/>
        </w:rPr>
        <w:t xml:space="preserve">"...dated 27/10/2025"</w:t>
      </w:r>
      <w:r>
        <w:t xml:space="preserve"> (Objection, ഖണ്ഡിക 10); GST - </w:t>
      </w:r>
      <w:r>
        <w:rPr>
          <w:rStyle w:val="Citation"/>
        </w:rPr>
        <w:t xml:space="preserve">"09/12/2025"</w:t>
      </w:r>
      <w:r>
        <w:t xml:space="preserve">; ഉദ്ഘാടനം - </w:t>
      </w:r>
      <w:r>
        <w:rPr>
          <w:rStyle w:val="Citation"/>
        </w:rPr>
        <w:t xml:space="preserve">"around 20.12.2025"</w:t>
      </w:r>
      <w:r>
        <w:t xml:space="preserve"> (വാദിയുടെ affidavit, ഖണ്ഡിക 8); "ratification" - 24.01.2026 (Minutes, പേജ് 17); </w:t>
      </w:r>
      <w:r>
        <w:rPr>
          <w:rStyle w:val="Citation"/>
        </w:rPr>
        <w:t xml:space="preserve">"...commercial terms with effect from 1/3/2026."</w:t>
      </w:r>
    </w:p>
    <w:p>
      <w:r>
        <w:t xml:space="preserve">ഓരോ ചുവടും കോടതിയിൽ നിന്നു മറച്ചു; ആദ്യ വെളിപ്പെടുത്തൽ 19.06.2026-ലെ Objection-ൽ. ഇപ്പോൾ അതേ കൈവശത്തെ "status quo" എന്നു വിളിക്കുന്നു.</w:t>
      </w:r>
    </w:p>
    <w:p>
      <w:pPr>
        <w:pStyle w:val="Heading4"/>
      </w:pPr>
      <w:r>
        <w:t xml:space="preserve">Conclusion</w:t>
      </w:r>
    </w:p>
    <w:p>
      <w:r>
        <w:t xml:space="preserve">കേസിന്റെ വിഷയവസ്തുവിനെ കോടതിയറിയാതെ വാണിജ്യവൽക്കരിച്ചവർക്ക് ആ fait accompli-യെ status quo ആയി അവതരിപ്പിക്കാനാവില്ല. സംരക്ഷിക്കേണ്ടത് "last non-contested status" - 12.06.2025-ലെ അവസ്ഥ. ഹർജി അതു പുനഃസ്ഥാപിക്കാൻ മാത്രം.</w:t>
      </w:r>
      <w:r>
        <w:br w:type="page"/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7190"/>
      </w:tblGrid>
      <w:tr>
        <w:trPr>
          <w:trHeight w:val="20"/>
        </w:trPr>
        <w:tc>
          <w:tcPr>
            <w:tcW w:w="1450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0" w:type="dxa"/>
              <w:right w:w="140" w:type="dxa"/>
            </w:tcMar>
          </w:tcPr>
          <w:p>
            <w:pPr>
              <w:pStyle w:val="LargeLetter"/>
            </w:pPr>
            <w:r>
              <w:t xml:space="preserve">C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</w:tcMar>
          </w:tcPr>
          <w:p>
            <w:pPr>
              <w:pStyle w:val="Heading11"/>
            </w:pPr>
            <w:r>
              <w:t xml:space="preserve">ആറുമാസം പ്രായമില്ലാത്ത "Sreemoolavasam"-ന് 450 വർഷത്തെ പാരമ്പര്യം - കാക്ക കുളിച്ചു കൊക്കായോ?</w:t>
            </w:r>
          </w:p>
        </w:tc>
      </w:tr>
    </w:tbl>
    <w:p>
      <w:pPr>
        <w:pStyle w:val="Heading4"/>
      </w:pPr>
      <w:r>
        <w:t xml:space="preserve">Issue</w:t>
      </w:r>
    </w:p>
    <w:p>
      <w:r>
        <w:t xml:space="preserve">ട്രസ്റ്റിന്റെ അടിസ്ഥാന ലക്ഷ്യമായ പൈതൃക സ്വത്വം ഒരു പാട്ടക്കമ്പനിയുടെ ബ്രാൻഡായി മാറുമ്പോൾ, ആ നഷ്ടം പണം കൊണ്ടു പരിഹരിക്കാമോ?</w:t>
      </w:r>
    </w:p>
    <w:p>
      <w:pPr>
        <w:pStyle w:val="Heading4"/>
      </w:pPr>
      <w:r>
        <w:t xml:space="preserve">Rule</w:t>
      </w:r>
    </w:p>
    <w:p>
      <w:r>
        <w:t xml:space="preserve">ആധാരം 2/IV/2007, ആമുഖം: </w:t>
      </w:r>
      <w:r>
        <w:rPr>
          <w:rStyle w:val="Citation"/>
        </w:rPr>
        <w:t xml:space="preserve">"Preserving heritage of the family"</w:t>
      </w:r>
      <w:r>
        <w:t xml:space="preserve">; </w:t>
      </w:r>
      <w:r>
        <w:rPr>
          <w:rStyle w:val="Citation"/>
        </w:rPr>
        <w:t xml:space="preserve">"...protect the existing heritage buildings and age old Nalukettu"</w:t>
      </w:r>
      <w:r>
        <w:t xml:space="preserve">. Indian Trusts Act, Section 11: </w:t>
      </w:r>
      <w:r>
        <w:rPr>
          <w:rStyle w:val="Citation"/>
        </w:rPr>
        <w:t xml:space="preserve">"The trustee is bound to fulfil the purpose of the trust..."</w:t>
      </w:r>
    </w:p>
    <w:p>
      <w:r>
        <w:t xml:space="preserve">Khasgi Trust v. Vipin Dhanaitkar, 2022 SCC OnLine SC 900, ഖണ്ഡിക 45: </w:t>
      </w:r>
      <w:r>
        <w:rPr>
          <w:rStyle w:val="Citation"/>
        </w:rPr>
        <w:t xml:space="preserve">"...legal obligation of the Trustees... to give effect to the objects of the Trust."</w:t>
      </w:r>
    </w:p>
    <w:p>
      <w:r>
        <w:t xml:space="preserve">Ashok Kumar Gupta v. Sitalaxmi Sahuwala Medical Trust, (2020) 4 SCC 321, ഖണ്ഡിക 14: </w:t>
      </w:r>
      <w:r>
        <w:rPr>
          <w:rStyle w:val="Citation"/>
        </w:rPr>
        <w:t xml:space="preserve">"The object of the Trust was being ignored..."</w:t>
      </w:r>
    </w:p>
    <w:p>
      <w:r>
        <w:t xml:space="preserve">Dev Prakash v. Indra, (2018) 14 SCC 292, ഖണ്ഡിക 14: </w:t>
      </w:r>
      <w:r>
        <w:rPr>
          <w:rStyle w:val="Citation"/>
        </w:rPr>
        <w:t xml:space="preserve">"...to prevent... threatened wastage, damage and alienation... or to render the situation irreversible."</w:t>
      </w:r>
    </w:p>
    <w:p>
      <w:pPr>
        <w:pStyle w:val="Heading4"/>
      </w:pPr>
      <w:r>
        <w:t xml:space="preserve">Application</w:t>
      </w:r>
    </w:p>
    <w:p>
      <w:r>
        <w:t xml:space="preserve">GST Extract - "Trade Name": </w:t>
      </w:r>
      <w:r>
        <w:rPr>
          <w:rStyle w:val="Citation"/>
        </w:rPr>
        <w:t xml:space="preserve">"Sreemoolavasam Wellness and Leisure Retreats Private Limited"</w:t>
      </w:r>
      <w:r>
        <w:t xml:space="preserve">; സ്ഥലം: </w:t>
      </w:r>
      <w:r>
        <w:rPr>
          <w:rStyle w:val="Citation"/>
        </w:rPr>
        <w:t xml:space="preserve">"2/242, Alumoottil, Muttom..."</w:t>
      </w:r>
      <w:r>
        <w:t xml:space="preserve"> - ട്രസ്റ്റ് വക വസ്തുവിൽ, മറ്റൊരു പേരിൽ. (ബോർഡ്/പരസ്യങ്ങൾ തെളിവായി ഹാജരാക്കും.)</w:t>
      </w:r>
    </w:p>
    <w:p>
      <w:r>
        <w:t xml:space="preserve">പ്രതികളുടെ Objection, ഖണ്ഡിക 11: </w:t>
      </w:r>
      <w:r>
        <w:rPr>
          <w:rStyle w:val="Citation"/>
        </w:rPr>
        <w:t xml:space="preserve">"...protecting its legacy and heritage purpose."</w:t>
      </w:r>
      <w:r>
        <w:t xml:space="preserve"> - മാസങ്ങൾ പ്രായമുള്ള കമ്പനിക്ക് എന്തു പൈതൃകം? അതേസമയം യഥാർത്ഥ പിന്തുടർച്ചക്കാരനെ - Minutes, പേജ് 20, ഇനം 6: </w:t>
      </w:r>
      <w:r>
        <w:rPr>
          <w:rStyle w:val="Citation"/>
        </w:rPr>
        <w:t xml:space="preserve">"terminated from the beneficiary status through legal means"</w:t>
      </w:r>
      <w:r>
        <w:t xml:space="preserve">.</w:t>
      </w:r>
    </w:p>
    <w:p>
      <w:pPr>
        <w:pStyle w:val="Heading4"/>
      </w:pPr>
      <w:r>
        <w:t xml:space="preserve">Conclusion</w:t>
      </w:r>
    </w:p>
    <w:p>
      <w:r>
        <w:t xml:space="preserve">പൈതൃകം സംരക്ഷിക്കാനുള്ള ട്രസ്റ്റ്, അതിനെ അന്യ കമ്പനിയുടെ ബ്രാൻഡാക്കുന്നു; പിന്തുടർച്ചക്കാരനെ പുറത്താക്കുന്നു. സ്വത്വനഷ്ടം പണം കൊണ്ടു തിരിച്ചെടുക്കാനാവില്ല - irreversible; ഉടൻ തടയണം.</w:t>
      </w:r>
      <w:r>
        <w:br w:type="page"/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7190"/>
      </w:tblGrid>
      <w:tr>
        <w:trPr>
          <w:trHeight w:val="20"/>
        </w:trPr>
        <w:tc>
          <w:tcPr>
            <w:tcW w:w="1450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0" w:type="dxa"/>
              <w:right w:w="140" w:type="dxa"/>
            </w:tcMar>
          </w:tcPr>
          <w:p>
            <w:pPr>
              <w:pStyle w:val="LargeLetter"/>
            </w:pPr>
            <w:r>
              <w:t xml:space="preserve">D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</w:tcMar>
          </w:tcPr>
          <w:p>
            <w:pPr>
              <w:pStyle w:val="Heading11"/>
            </w:pPr>
            <w:r>
              <w:t xml:space="preserve">മൂന്നു ഹർജികൾ നിലനിൽക്കെ പത്തുവർഷത്തെ pendente lite പാട്ടം - ഓണത്തിനിടയിൽ പൂട്ടുകച്ചവടം.</w:t>
            </w:r>
          </w:p>
        </w:tc>
      </w:tr>
    </w:tbl>
    <w:p>
      <w:pPr>
        <w:pStyle w:val="Heading4"/>
      </w:pPr>
      <w:r>
        <w:t xml:space="preserve">Issue</w:t>
      </w:r>
    </w:p>
    <w:p>
      <w:r>
        <w:t xml:space="preserve">ആധാരം ആവശ്യപ്പെടുന്ന മുൻകൂർ സമ്മതമില്ലാതെ ഒപ്പിട്ട 10 വർഷ പാട്ടം - ഗൗരവമായ triable issue എന്ന നിലയിൽ വസ്തു സംരക്ഷണം ആവശ്യപ്പെടുന്നില്ലേ?</w:t>
      </w:r>
    </w:p>
    <w:p>
      <w:pPr>
        <w:pStyle w:val="Heading4"/>
      </w:pPr>
      <w:r>
        <w:t xml:space="preserve">Rule</w:t>
      </w:r>
    </w:p>
    <w:p>
      <w:r>
        <w:t xml:space="preserve">ആധാരം 66/IV/2022, വകുപ്പ് 17(c): </w:t>
      </w:r>
      <w:r>
        <w:rPr>
          <w:rStyle w:val="Citation"/>
        </w:rPr>
        <w:t xml:space="preserve">"...leasing out the Trust properties... only... upon consent of all Trustees and beneficiaries."</w:t>
      </w:r>
      <w:r>
        <w:t xml:space="preserve"> ആധാരം 17/IV/2024, വകുപ്പ് 32(b)(ix): </w:t>
      </w:r>
      <w:r>
        <w:rPr>
          <w:rStyle w:val="Citation"/>
        </w:rPr>
        <w:t xml:space="preserve">"To lease... provided all members of the Board unanimously resolve..."</w:t>
      </w:r>
    </w:p>
    <w:p>
      <w:r>
        <w:t xml:space="preserve">Shanti Vijay &amp; Co. v. Princess Fatima Fouzia, (1979) 4 SCC 602: </w:t>
      </w:r>
      <w:r>
        <w:rPr>
          <w:rStyle w:val="Citation"/>
        </w:rPr>
        <w:t xml:space="preserve">"All acts... must be taken by all of them acting together."</w:t>
      </w:r>
    </w:p>
    <w:p>
      <w:r>
        <w:t xml:space="preserve">Sheikh Abdul Kayum v. Mulla Alibhai, AIR 1963 SC 309: </w:t>
      </w:r>
      <w:r>
        <w:rPr>
          <w:rStyle w:val="Citation"/>
        </w:rPr>
        <w:t xml:space="preserve">"The law does not permit delegation by a trustee... except... the consent of the beneficiary or the authority of the trust deed..."</w:t>
      </w:r>
    </w:p>
    <w:p>
      <w:r>
        <w:t xml:space="preserve">Dalpat Kumar v. Prahlad Singh, (1992) 1 SCC 719, ഖണ്ഡിക 5: </w:t>
      </w:r>
      <w:r>
        <w:rPr>
          <w:rStyle w:val="Citation"/>
        </w:rPr>
        <w:t xml:space="preserve">"Prima facie case is a substantial question raised, bona fide, which needs investigation..."</w:t>
      </w:r>
    </w:p>
    <w:p>
      <w:pPr>
        <w:pStyle w:val="Heading4"/>
      </w:pPr>
      <w:r>
        <w:t xml:space="preserve">Application</w:t>
      </w:r>
    </w:p>
    <w:p>
      <w:r>
        <w:t xml:space="preserve">ക്രമം: പാട്ടം ഒപ്പിട്ടത് </w:t>
      </w:r>
      <w:r>
        <w:rPr>
          <w:rStyle w:val="Citation"/>
        </w:rPr>
        <w:t xml:space="preserve">"27/10/2025"</w:t>
      </w:r>
      <w:r>
        <w:t xml:space="preserve"> - GST </w:t>
      </w:r>
      <w:r>
        <w:rPr>
          <w:rStyle w:val="Citation"/>
        </w:rPr>
        <w:t xml:space="preserve">"09/12/2025"</w:t>
      </w:r>
      <w:r>
        <w:t xml:space="preserve"> - ഉദ്ഘാടനം </w:t>
      </w:r>
      <w:r>
        <w:rPr>
          <w:rStyle w:val="Citation"/>
        </w:rPr>
        <w:t xml:space="preserve">"around 20.12.2025"</w:t>
      </w:r>
      <w:r>
        <w:t xml:space="preserve"> - "ratification" 24.01.2026-ൽ മാത്രം: </w:t>
      </w:r>
      <w:r>
        <w:rPr>
          <w:rStyle w:val="Citation"/>
        </w:rPr>
        <w:t xml:space="preserve">"...in line with the resolution taken on 21/8/2025... ratified and approved unanimously..."</w:t>
      </w:r>
      <w:r>
        <w:t xml:space="preserve"> (Minutes, പേജ് 17).</w:t>
      </w:r>
    </w:p>
    <w:p>
      <w:r>
        <w:t xml:space="preserve">ഹാജരാക്കിയ Minutes Book-ൽ 21/8/2025-ന് ഒരു മിനിറ്റുമില്ല; പേജ് 13-14 കാണാനില്ല. 17(c) ആവശ്യപ്പെടുന്ന beneficiaries-ുടെ സമ്മതരേഖ ഇന്നുവരെ ഇല്ല.</w:t>
      </w:r>
    </w:p>
    <w:p>
      <w:pPr>
        <w:pStyle w:val="Heading4"/>
      </w:pPr>
      <w:r>
        <w:t xml:space="preserve">Conclusion</w:t>
      </w:r>
    </w:p>
    <w:p>
      <w:r>
        <w:t xml:space="preserve">സാധുത ഇപ്പോൾ തീരുമാനിക്കേണ്ട; "substantial question... which needs investigation" വ്യക്തം. അതു തീരും വരെ വസ്തു അതേപടി നിൽക്കണം - അല്ലെങ്കിൽ കൈവശവും നിർമ്മാണവും മൂന്നാംകക്ഷി അവകാശങ്ങളും മാറ്റാനാവാത്തതാകും.</w:t>
      </w:r>
      <w:r>
        <w:br w:type="page"/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7190"/>
      </w:tblGrid>
      <w:tr>
        <w:trPr>
          <w:trHeight w:val="20"/>
        </w:trPr>
        <w:tc>
          <w:tcPr>
            <w:tcW w:w="1450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0" w:type="dxa"/>
              <w:right w:w="140" w:type="dxa"/>
            </w:tcMar>
          </w:tcPr>
          <w:p>
            <w:pPr>
              <w:pStyle w:val="LargeLetter"/>
            </w:pPr>
            <w:r>
              <w:t xml:space="preserve">E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</w:tcMar>
          </w:tcPr>
          <w:p>
            <w:pPr>
              <w:pStyle w:val="Heading11"/>
            </w:pPr>
            <w:r>
              <w:t xml:space="preserve">Extracts-ൽ അറ്റവും മുറിയും; പാട്ടത്തെയും പാട്ടക്കാരനെയും മുക്കി - അശ്വത്ഥാമാ ഹതഃ.</w:t>
            </w:r>
          </w:p>
        </w:tc>
      </w:tr>
    </w:tbl>
    <w:p>
      <w:pPr>
        <w:pStyle w:val="Heading4"/>
      </w:pPr>
      <w:r>
        <w:t xml:space="preserve">Issue</w:t>
      </w:r>
    </w:p>
    <w:p>
      <w:r>
        <w:t xml:space="preserve">Primary documents മറച്ചുവെച്ച്, പുസ്തകവുമായി ഒത്തുനോക്കാനാവാത്ത extracts കൊണ്ട് equities balance ചെയ്യാൻ ആവശ്യപ്പെടാമോ?</w:t>
      </w:r>
    </w:p>
    <w:p>
      <w:pPr>
        <w:pStyle w:val="Heading4"/>
      </w:pPr>
      <w:r>
        <w:t xml:space="preserve">Rule</w:t>
      </w:r>
    </w:p>
    <w:p>
      <w:r>
        <w:t xml:space="preserve">Bhaurao Dagdu Paralkar v. State of Maharashtra, (2005) 7 SCC 605, ഖണ്ഡിക 15: </w:t>
      </w:r>
      <w:r>
        <w:rPr>
          <w:rStyle w:val="Citation"/>
        </w:rPr>
        <w:t xml:space="preserve">"Suppression of a material document would also amount to a fraud on the court."</w:t>
      </w:r>
    </w:p>
    <w:p>
      <w:r>
        <w:t xml:space="preserve">Gopal Krishnaji Ketkar v. Mohamed Haji Latif, AIR 1968 SC 1413: </w:t>
      </w:r>
      <w:r>
        <w:rPr>
          <w:rStyle w:val="Citation"/>
        </w:rPr>
        <w:t xml:space="preserve">"...adverse inference if he withholds important documents in his possession..."</w:t>
      </w:r>
    </w:p>
    <w:p>
      <w:r>
        <w:t xml:space="preserve">K.D. Sharma v. SAIL, (2008) 12 SCC 481, ഖണ്ഡിക 39: </w:t>
      </w:r>
      <w:r>
        <w:rPr>
          <w:rStyle w:val="Citation"/>
        </w:rPr>
        <w:t xml:space="preserve">"If the applicant does not disclose all the material facts fairly and truly... to refuse to proceed further."</w:t>
      </w:r>
    </w:p>
    <w:p>
      <w:pPr>
        <w:pStyle w:val="Heading4"/>
      </w:pPr>
      <w:r>
        <w:t xml:space="preserve">Application</w:t>
      </w:r>
    </w:p>
    <w:p>
      <w:r>
        <w:t xml:space="preserve">പട്ടിക (18.02.2026): ഏഴ് ഇനം മാത്രം. ഇല്ലാത്തവ: lease deed 3237/2025, MOA, Collaboration agreement, loan രേഖകൾ, estimate (</w:t>
      </w:r>
      <w:r>
        <w:rPr>
          <w:rStyle w:val="Citation"/>
        </w:rPr>
        <w:t xml:space="preserve">"...Rs 73,25,000/-... e-mail on 20/8/2025"</w:t>
      </w:r>
      <w:r>
        <w:t xml:space="preserve">), proposals, inventory - എല്ലാം Minutes തന്നെ സമ്മതിക്കുന്ന രേഖകൾ.</w:t>
      </w:r>
    </w:p>
    <w:p>
      <w:r>
        <w:t xml:space="preserve">D2, ഖണ്ഡിക 9: </w:t>
      </w:r>
      <w:r>
        <w:rPr>
          <w:rStyle w:val="Citation"/>
        </w:rPr>
        <w:t xml:space="preserve">"...producing original trust deed no.2/IV/2007... 66/IV/2022, 17/IV/2024, 38/IV/2026."</w:t>
      </w:r>
      <w:r>
        <w:t xml:space="preserve"> - 38/IV/2026: കേസിനിടെ എഴുതിയ, pleadings-ൽ ഇല്ലാത്ത നാലാം ആധാരം. പട്ടിക ഇനം 6: </w:t>
      </w:r>
      <w:r>
        <w:rPr>
          <w:rStyle w:val="Citation"/>
        </w:rPr>
        <w:t xml:space="preserve">"...22/12/2023, 6/02/2024, 21/08/2025 തീയതികളിലെ Resolution കളുടെ പകർപ്പ്..."</w:t>
      </w:r>
      <w:r>
        <w:t xml:space="preserve"> - പുസ്തകത്തിൽ ഇല്ലാത്ത "പകർപ്പുകൾ". Lease deed-കൾ എത്തിയത് IA 7/2026 (18.05.2026) വഴി - rejoinder-നു ശേഷം മാത്രം.</w:t>
      </w:r>
    </w:p>
    <w:p>
      <w:pPr>
        <w:pStyle w:val="Heading4"/>
      </w:pPr>
      <w:r>
        <w:t xml:space="preserve">Conclusion</w:t>
      </w:r>
    </w:p>
    <w:p>
      <w:r>
        <w:t xml:space="preserve">തിരഞ്ഞെടുത്ത രേഖകളുടെ മേൽ equities balance ചെയ്യാനാവില്ല. Adverse inference നിർബന്ധം; ഈ അപൂർണ്ണ വെളിപ്പെടുത്തൽ തന്നെ unclean hands.</w:t>
      </w:r>
      <w:r>
        <w:br w:type="page"/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7190"/>
      </w:tblGrid>
      <w:tr>
        <w:trPr>
          <w:trHeight w:val="20"/>
        </w:trPr>
        <w:tc>
          <w:tcPr>
            <w:tcW w:w="1450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0" w:type="dxa"/>
              <w:right w:w="140" w:type="dxa"/>
            </w:tcMar>
          </w:tcPr>
          <w:p>
            <w:pPr>
              <w:pStyle w:val="LargeLetter"/>
            </w:pPr>
            <w:r>
              <w:t xml:space="preserve">F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</w:tcMar>
          </w:tcPr>
          <w:p>
            <w:pPr>
              <w:pStyle w:val="Heading11"/>
            </w:pPr>
            <w:r>
              <w:t xml:space="preserve">ജനുവരിയിൽ "പുതിയ കെട്ടിടം പണിയണം" എന്ന തീരുമാനം; ജൂണിൽ "alteration ഒന്നും ഇല്ല" എന്നു കോടതിയിൽ - പാലം കടക്കുവോളം നാരായണാ.</w:t>
            </w:r>
          </w:p>
        </w:tc>
      </w:tr>
    </w:tbl>
    <w:p>
      <w:pPr>
        <w:pStyle w:val="Heading4"/>
      </w:pPr>
      <w:r>
        <w:t xml:space="preserve">Issue</w:t>
      </w:r>
    </w:p>
    <w:p>
      <w:r>
        <w:t xml:space="preserve">കോടതിക്കുള്ള ഉറപ്പും സ്വന്തം Minutes-ഉം നേർവിപരീതം - irreparable injury-യുടെ കാതൽ ഈ വൈരുദ്ധ്യമല്ലേ?</w:t>
      </w:r>
    </w:p>
    <w:p>
      <w:pPr>
        <w:pStyle w:val="Heading4"/>
      </w:pPr>
      <w:r>
        <w:t xml:space="preserve">Rule</w:t>
      </w:r>
    </w:p>
    <w:p>
      <w:r>
        <w:t xml:space="preserve">Suzuki Parasrampuria Suitings v. Official Liquidator, (2018) 10 SCC 707, ഖണ്ഡിക 12: </w:t>
      </w:r>
      <w:r>
        <w:rPr>
          <w:rStyle w:val="Citation"/>
        </w:rPr>
        <w:t xml:space="preserve">"A party cannot be permitted to approbate and reprobate..."</w:t>
      </w:r>
    </w:p>
    <w:p>
      <w:r>
        <w:t xml:space="preserve">Maharwal Khewaji Trust v. Baldev Dass, (2004) 8 SCC 488, ഖണ്ഡിക 10: </w:t>
      </w:r>
      <w:r>
        <w:rPr>
          <w:rStyle w:val="Citation"/>
        </w:rPr>
        <w:t xml:space="preserve">"...the court should not permit the nature of the property to be changed."</w:t>
      </w:r>
    </w:p>
    <w:p>
      <w:r>
        <w:t xml:space="preserve">State of Kerala v. Union of India, (2024) 7 SCC 183, ഖണ്ഡിക 12: </w:t>
      </w:r>
      <w:r>
        <w:rPr>
          <w:rStyle w:val="Citation"/>
        </w:rPr>
        <w:t xml:space="preserve">"...an irreversible injury that cannot be compensated in monetary terms."</w:t>
      </w:r>
    </w:p>
    <w:p>
      <w:pPr>
        <w:pStyle w:val="Heading4"/>
      </w:pPr>
      <w:r>
        <w:t xml:space="preserve">Application</w:t>
      </w:r>
    </w:p>
    <w:p>
      <w:r>
        <w:t xml:space="preserve">Objection, ഖണ്ഡിക 11: </w:t>
      </w:r>
      <w:r>
        <w:rPr>
          <w:rStyle w:val="Citation"/>
        </w:rPr>
        <w:t xml:space="preserve">"...Lessee shall not make any additions, alterations or improvements... of permanent nature..."</w:t>
      </w:r>
    </w:p>
    <w:p>
      <w:r>
        <w:t xml:space="preserve">അതേ പ്രതികളുടെ Minutes, പേജ് 17: </w:t>
      </w:r>
      <w:r>
        <w:rPr>
          <w:rStyle w:val="Citation"/>
        </w:rPr>
        <w:t xml:space="preserve">"...to build a treatment block and to make a partition in the ground floor of Meda... which was accepted."</w:t>
      </w:r>
      <w:r>
        <w:t xml:space="preserve"> സംരക്ഷിക്കേണ്ടതോ - ആധാര ആമുഖം: </w:t>
      </w:r>
      <w:r>
        <w:rPr>
          <w:rStyle w:val="Citation"/>
        </w:rPr>
        <w:t xml:space="preserve">"...age old Nalukettu"</w:t>
      </w:r>
      <w:r>
        <w:t xml:space="preserve">.</w:t>
      </w:r>
    </w:p>
    <w:p>
      <w:pPr>
        <w:pStyle w:val="Heading4"/>
      </w:pPr>
      <w:r>
        <w:t xml:space="preserve">Conclusion</w:t>
      </w:r>
    </w:p>
    <w:p>
      <w:r>
        <w:t xml:space="preserve">ഒരേ വിഷയത്തിൽ രണ്ടു നിലപാട് - അനുവദനീയമല്ല. Meda-യിൽ partition-ഉം block-ഉം വന്നാൽ പഴയ ഘടന തിരിച്ചുവരില്ല; "nature of the property" മാറും മുമ്പ് പണി തടയണം.</w:t>
      </w:r>
      <w:r>
        <w:br w:type="page"/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7190"/>
      </w:tblGrid>
      <w:tr>
        <w:trPr>
          <w:trHeight w:val="20"/>
        </w:trPr>
        <w:tc>
          <w:tcPr>
            <w:tcW w:w="1450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0" w:type="dxa"/>
              <w:right w:w="140" w:type="dxa"/>
            </w:tcMar>
          </w:tcPr>
          <w:p>
            <w:pPr>
              <w:pStyle w:val="LargeLetter"/>
            </w:pPr>
            <w:r>
              <w:t xml:space="preserve">G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</w:tcMar>
          </w:tcPr>
          <w:p>
            <w:pPr>
              <w:pStyle w:val="Heading11"/>
            </w:pPr>
            <w:r>
              <w:t xml:space="preserve">പുരാവസ്തുക്കൾ കൈമാറിയശേഷം "പിന്നീട് inventory" - ജാതകം കല്യാണം കഴിഞ്ഞും നോക്കാല്ലോ?</w:t>
            </w:r>
          </w:p>
        </w:tc>
      </w:tr>
    </w:tbl>
    <w:p>
      <w:pPr>
        <w:pStyle w:val="Heading4"/>
      </w:pPr>
      <w:r>
        <w:t xml:space="preserve">Issue</w:t>
      </w:r>
    </w:p>
    <w:p>
      <w:r>
        <w:t xml:space="preserve">Inventory ഇല്ലാതെ heirlooms കൈമാറിയാൽ, "മുമ്പ് എന്തുണ്ടായിരുന്നു" എന്ന baseline എന്നന്നേക്കും നഷ്ടമാകില്ലേ - IA 9/2025 നിലനിൽക്കെ?</w:t>
      </w:r>
    </w:p>
    <w:p>
      <w:pPr>
        <w:pStyle w:val="Heading4"/>
      </w:pPr>
      <w:r>
        <w:t xml:space="preserve">Rule</w:t>
      </w:r>
    </w:p>
    <w:p>
      <w:r>
        <w:t xml:space="preserve">Khasgi Trust, ഖണ്ഡിക 45: </w:t>
      </w:r>
      <w:r>
        <w:rPr>
          <w:rStyle w:val="Citation"/>
        </w:rPr>
        <w:t xml:space="preserve">"The Trustees are the custodians of Trust properties."</w:t>
      </w:r>
    </w:p>
    <w:p>
      <w:r>
        <w:t xml:space="preserve">Chenchu Rami Reddy v. Govt. of A.P., (1986) 3 SCC 391, ഖണ്ഡിക 10: </w:t>
      </w:r>
      <w:r>
        <w:rPr>
          <w:rStyle w:val="Citation"/>
        </w:rPr>
        <w:t xml:space="preserve">"...must be jealously protected."</w:t>
      </w:r>
    </w:p>
    <w:p>
      <w:r>
        <w:t xml:space="preserve">Mussauddin Ahmed v. State of Assam, (2009) 14 SCC 541, ഖണ്ഡിക 11: </w:t>
      </w:r>
      <w:r>
        <w:rPr>
          <w:rStyle w:val="Citation"/>
        </w:rPr>
        <w:t xml:space="preserve">"...duty of the party to lead the best evidence in its possession..."</w:t>
      </w:r>
    </w:p>
    <w:p>
      <w:pPr>
        <w:pStyle w:val="Heading4"/>
      </w:pPr>
      <w:r>
        <w:t xml:space="preserve">Application</w:t>
      </w:r>
    </w:p>
    <w:p>
      <w:r>
        <w:t xml:space="preserve">Minutes, പേജ് 19-20, ഇനം 5: </w:t>
      </w:r>
      <w:r>
        <w:rPr>
          <w:rStyle w:val="Citation"/>
        </w:rPr>
        <w:t xml:space="preserve">"Resolved to hand over to the tenant, old furniture items and utensils..."</w:t>
      </w:r>
      <w:r>
        <w:t xml:space="preserve"> </w:t>
      </w:r>
      <w:r>
        <w:rPr>
          <w:rStyle w:val="Citation"/>
        </w:rPr>
        <w:t xml:space="preserve">"Inventorying... will be prepared and kept as records."</w:t>
      </w:r>
      <w:r>
        <w:t xml:space="preserve"> - കൈമാറ്റം ആദ്യം, രേഖ പിന്നീട്; IA 9/2025 അപ്പോൾ pending.</w:t>
      </w:r>
    </w:p>
    <w:p>
      <w:r>
        <w:t xml:space="preserve">Objection, ഖണ്ഡിക 8: </w:t>
      </w:r>
      <w:r>
        <w:rPr>
          <w:rStyle w:val="Citation"/>
        </w:rPr>
        <w:t xml:space="preserve">"There was no wildlife artefacts in Alummoottil Meda."</w:t>
      </w:r>
      <w:r>
        <w:t xml:space="preserve"> - എന്നാൽ പ്രതികൾ തന്നെ ഹാജരാക്കിയ DFO കത്ത് (18.11.2025) ഈ വിഷയത്തിലുള്ളത്; മേൽവിലാസം: </w:t>
      </w:r>
      <w:r>
        <w:rPr>
          <w:rStyle w:val="Citation"/>
        </w:rPr>
        <w:t xml:space="preserve">"Anoop Madhavan, Beneficiary, Alumootil Tharavad Trust"</w:t>
      </w:r>
      <w:r>
        <w:t xml:space="preserve">. അപേക്ഷ: ഒപ്പും തീയതിയുമുള്ള inventory ഹാജരാക്കാൻ നിർദ്ദേശിക്കണം.</w:t>
      </w:r>
    </w:p>
    <w:p>
      <w:pPr>
        <w:pStyle w:val="Heading4"/>
      </w:pPr>
      <w:r>
        <w:t xml:space="preserve">Conclusion</w:t>
      </w:r>
    </w:p>
    <w:p>
      <w:r>
        <w:t xml:space="preserve">Custodian കണക്കെടുപ്പിനു മുമ്പ് കൈമാറിയാൽ, ഒരു later list-നും നഷ്ടം തെളിയിക്കാനാവില്ല. Inventory ഉണ്ടെങ്കിൽ ഹാജരാക്കട്ടെ; ഇല്ലെങ്കിൽ കൈമാറ്റം അന്ധം. Provenance നഷ്ടം ശാശ്വതം; തടയലിന്റെ അസൗകര്യം നിസ്സാരം.</w:t>
      </w:r>
      <w:r>
        <w:br w:type="page"/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7190"/>
      </w:tblGrid>
      <w:tr>
        <w:trPr>
          <w:trHeight w:val="20"/>
        </w:trPr>
        <w:tc>
          <w:tcPr>
            <w:tcW w:w="1450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0" w:type="dxa"/>
              <w:right w:w="140" w:type="dxa"/>
            </w:tcMar>
          </w:tcPr>
          <w:p>
            <w:pPr>
              <w:pStyle w:val="LargeLetter"/>
            </w:pPr>
            <w:r>
              <w:t xml:space="preserve">H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</w:tcMar>
          </w:tcPr>
          <w:p>
            <w:pPr>
              <w:pStyle w:val="Heading11"/>
            </w:pPr>
            <w:r>
              <w:t xml:space="preserve">ട്രസ്റ്റ് സ്വത്തിന്റെ പാട്ടക്കാരെ തിരഞ്ഞെടുത്തതും തീർച്ചപ്പെടുത്തിയതും ട്രസ്റ്റിയുടെ ഭാര്യ - കാട്ടിലെ തടി, തേവരുടെ ആന.</w:t>
            </w:r>
          </w:p>
        </w:tc>
      </w:tr>
    </w:tbl>
    <w:p>
      <w:pPr>
        <w:pStyle w:val="Heading4"/>
      </w:pPr>
      <w:r>
        <w:t xml:space="preserve">Issue</w:t>
      </w:r>
    </w:p>
    <w:p>
      <w:r>
        <w:t xml:space="preserve">കോടികൾ മുടക്കിയ പൈതൃക സ്വത്ത്, valuation-ഓ താരതമ്യ രേഖയോ ഇല്ലാതെ, മാസങ്ങൾ പ്രായമുള്ള കമ്പനിക്ക് - prudent trustee standard പാലിച്ചോ?</w:t>
      </w:r>
    </w:p>
    <w:p>
      <w:pPr>
        <w:pStyle w:val="Heading4"/>
      </w:pPr>
      <w:r>
        <w:t xml:space="preserve">Rule</w:t>
      </w:r>
    </w:p>
    <w:p>
      <w:r>
        <w:t xml:space="preserve">Indian Trusts Act, Section 15: </w:t>
      </w:r>
      <w:r>
        <w:rPr>
          <w:rStyle w:val="Citation"/>
        </w:rPr>
        <w:t xml:space="preserve">"...as carefully as a man of ordinary prudence would deal with such property if it were his own"</w:t>
      </w:r>
      <w:r>
        <w:t xml:space="preserve">. Section 47: </w:t>
      </w:r>
      <w:r>
        <w:rPr>
          <w:rStyle w:val="Citation"/>
        </w:rPr>
        <w:t xml:space="preserve">"A trustee cannot delegate his office or any of his duties..."</w:t>
      </w:r>
    </w:p>
    <w:p>
      <w:r>
        <w:t xml:space="preserve">Shanti Vijay &amp; Co.: </w:t>
      </w:r>
      <w:r>
        <w:rPr>
          <w:rStyle w:val="Citation"/>
        </w:rPr>
        <w:t xml:space="preserve">"A trustee cannot... delegate the performance of the acts which he ought personally perform."</w:t>
      </w:r>
    </w:p>
    <w:p>
      <w:r>
        <w:t xml:space="preserve">Chenchu Rami Reddy, ഖണ്ഡിക 10: </w:t>
      </w:r>
      <w:r>
        <w:rPr>
          <w:rStyle w:val="Citation"/>
        </w:rPr>
        <w:t xml:space="preserve">"The sale... by private negotiations... should not... be made, unless there are reasons to justify the same."</w:t>
      </w:r>
    </w:p>
    <w:p>
      <w:r>
        <w:t xml:space="preserve">R. Venugopala Naidu, 1989 Supp (2) SCC 356: </w:t>
      </w:r>
      <w:r>
        <w:rPr>
          <w:rStyle w:val="Citation"/>
        </w:rPr>
        <w:t xml:space="preserve">"Reserved price should be fixed after ascertaining the market value."</w:t>
      </w:r>
    </w:p>
    <w:p>
      <w:pPr>
        <w:pStyle w:val="Heading4"/>
      </w:pPr>
      <w:r>
        <w:t xml:space="preserve">Application</w:t>
      </w:r>
    </w:p>
    <w:p>
      <w:r>
        <w:t xml:space="preserve">Minutes, പേജ് 15: </w:t>
      </w:r>
      <w:r>
        <w:rPr>
          <w:rStyle w:val="Citation"/>
        </w:rPr>
        <w:t xml:space="preserve">"...this was done by me along with Mrs. Jiji Ramesh."</w:t>
      </w:r>
      <w:r>
        <w:t xml:space="preserve"> - D4; ട്രസ്റ്റി അല്ല; അധികാരപ്പെടുത്തുന്ന resolution ഇല്ല. തിരഞ്ഞെടുപ്പ്: </w:t>
      </w:r>
      <w:r>
        <w:rPr>
          <w:rStyle w:val="Citation"/>
        </w:rPr>
        <w:t xml:space="preserve">"...found to be more beneficial in terms and conditions and bid amount."</w:t>
      </w:r>
      <w:r>
        <w:t xml:space="preserve"> - എന്നാൽ proposal, bid, valuation, താരതമ്യം, written opinion - ഒന്നും ഹാജരില്ല.</w:t>
      </w:r>
    </w:p>
    <w:p>
      <w:r>
        <w:t xml:space="preserve">പേജ് 16: </w:t>
      </w:r>
      <w:r>
        <w:rPr>
          <w:rStyle w:val="Citation"/>
        </w:rPr>
        <w:t xml:space="preserve">"A ten year lease Agreement for a monthly rent of Rs 60,000/- for MEDA..."</w:t>
      </w:r>
      <w:r>
        <w:t xml:space="preserve"> പേജ് 19: </w:t>
      </w:r>
      <w:r>
        <w:rPr>
          <w:rStyle w:val="Citation"/>
        </w:rPr>
        <w:t xml:space="preserve">"...construction and renovation is Rs 11,45,85,900/-... land Rs 54,00,000/-."</w:t>
      </w:r>
      <w:r>
        <w:t xml:space="preserve"> - Rs 12 കോടിയോളം മുടക്കിന്, Meda-യുടെ വാർഷിക വാടക Rs 7,20,000.</w:t>
      </w:r>
    </w:p>
    <w:p>
      <w:pPr>
        <w:pStyle w:val="Heading4"/>
      </w:pPr>
      <w:r>
        <w:t xml:space="preserve">Conclusion</w:t>
      </w:r>
    </w:p>
    <w:p>
      <w:r>
        <w:t xml:space="preserve">Section 47 വിലക്കുന്ന delegation; Section 15-ന്റെ prudence-ന് ഒരു രേഖയുമില്ല. Market value ഉറപ്പാക്കിയില്ല; private negotiation-നു ന്യായീകരണവുമില്ല. Balance of convenience പ്രതികൾക്ക് അനുകൂലമാക്കാൻ വസ്തുതയില്ല.</w:t>
      </w:r>
      <w:r>
        <w:br w:type="page"/>
      </w:r>
    </w:p>
    <w:tbl>
      <w:tblPr>
        <w:tblW w:w="86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50"/>
        <w:gridCol w:w="7190"/>
      </w:tblGrid>
      <w:tr>
        <w:trPr>
          <w:trHeight w:val="20"/>
        </w:trPr>
        <w:tc>
          <w:tcPr>
            <w:tcW w:w="1450" w:type="dxa"/>
            <w:tcBorders>
              <w:top w:val="nil"/>
              <w:left w:val="nil"/>
              <w:bottom w:val="nil"/>
              <w:right w:val="single" w:sz="18" w:space="0" w:color="000000"/>
            </w:tcBorders>
            <w:tcMar>
              <w:top w:w="0" w:type="dxa"/>
              <w:right w:w="140" w:type="dxa"/>
            </w:tcMar>
          </w:tcPr>
          <w:p>
            <w:pPr>
              <w:pStyle w:val="LargeLetter"/>
            </w:pPr>
            <w:r>
              <w:t xml:space="preserve">I</w:t>
            </w:r>
          </w:p>
        </w:tc>
        <w:tc>
          <w:tcPr>
            <w:tcW w:w="719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0" w:type="dxa"/>
            </w:tcMar>
          </w:tcPr>
          <w:p>
            <w:pPr>
              <w:pStyle w:val="Heading11"/>
            </w:pPr>
            <w:r>
              <w:t xml:space="preserve">ട്രസ്റ്റിന് പത്തു വർഷം പാട്ടം; വരുമാനം ട്രസ്റ്റിയുടെ കടം തീർക്കാൻ - വേലി തന്നെ വിളവു തിന്നേച്ചാൽ, ആർക്കാ നഷ്ടം?</w:t>
            </w:r>
          </w:p>
        </w:tc>
      </w:tr>
    </w:tbl>
    <w:p>
      <w:pPr>
        <w:pStyle w:val="Heading4"/>
      </w:pPr>
      <w:r>
        <w:t xml:space="preserve">Issue</w:t>
      </w:r>
    </w:p>
    <w:p>
      <w:r>
        <w:t xml:space="preserve">കണക്കില്ലാത്ത ചെലവിനെ ട്രസ്റ്റ് ബാധ്യതയാക്കി, വാടക ട്രസ്റ്റികളിലേക്ക് - venture തുടർന്നാൽ ഈ മാറ്റം തിരിച്ചെടുക്കാനാവാത്തതാകില്ലേ?</w:t>
      </w:r>
    </w:p>
    <w:p>
      <w:pPr>
        <w:pStyle w:val="Heading4"/>
      </w:pPr>
      <w:r>
        <w:t xml:space="preserve">Rule</w:t>
      </w:r>
    </w:p>
    <w:p>
      <w:r>
        <w:t xml:space="preserve">Indian Trusts Act, Section 19: </w:t>
      </w:r>
      <w:r>
        <w:rPr>
          <w:rStyle w:val="Citation"/>
        </w:rPr>
        <w:t xml:space="preserve">"...to keep clear and accurate accounts of the trust-property..."</w:t>
      </w:r>
      <w:r>
        <w:t xml:space="preserve"> Section 51: </w:t>
      </w:r>
      <w:r>
        <w:rPr>
          <w:rStyle w:val="Citation"/>
        </w:rPr>
        <w:t xml:space="preserve">"A trustee may not use or deal with the trust-property for his own profit..."</w:t>
      </w:r>
      <w:r>
        <w:t xml:space="preserve"> ആധാരം 2/IV/2007, വകുപ്പ് 4: </w:t>
      </w:r>
      <w:r>
        <w:rPr>
          <w:rStyle w:val="Citation"/>
        </w:rPr>
        <w:t xml:space="preserve">"...a joint account in the name of the Trust... operated jointly by the trustees."</w:t>
      </w:r>
    </w:p>
    <w:p>
      <w:r>
        <w:t xml:space="preserve">M.V. Ramasubbier v. Manicka Narasimhachari, (1979) 2 SCC 65: </w:t>
      </w:r>
      <w:r>
        <w:rPr>
          <w:rStyle w:val="Citation"/>
        </w:rPr>
        <w:t xml:space="preserve">"...not entitled to make a profit for himself or a member of his family."</w:t>
      </w:r>
    </w:p>
    <w:p>
      <w:r>
        <w:t xml:space="preserve">CBI v. V.C. Shukla, (1998) 3 SCC 410, ഖണ്ഡിക 17: </w:t>
      </w:r>
      <w:r>
        <w:rPr>
          <w:rStyle w:val="Citation"/>
        </w:rPr>
        <w:t xml:space="preserve">"Such entries shall not alone be sufficient evidence to charge any person with liability."</w:t>
      </w:r>
    </w:p>
    <w:p>
      <w:pPr>
        <w:pStyle w:val="Heading4"/>
      </w:pPr>
      <w:r>
        <w:t xml:space="preserve">Application</w:t>
      </w:r>
    </w:p>
    <w:p>
      <w:r>
        <w:t xml:space="preserve">D2, ഖണ്ഡിക 5: </w:t>
      </w:r>
      <w:r>
        <w:rPr>
          <w:rStyle w:val="Citation"/>
        </w:rPr>
        <w:t xml:space="preserve">"no books of account were maintained..."</w:t>
      </w:r>
      <w:r>
        <w:t xml:space="preserve"> ഖണ്ഡിക 8: </w:t>
      </w:r>
      <w:r>
        <w:rPr>
          <w:rStyle w:val="Citation"/>
        </w:rPr>
        <w:t xml:space="preserve">"...current account No.13100200004482 on.26/05/2025."</w:t>
      </w:r>
      <w:r>
        <w:t xml:space="preserve"> (Passbook: </w:t>
      </w:r>
      <w:r>
        <w:rPr>
          <w:rStyle w:val="Citation"/>
        </w:rPr>
        <w:t xml:space="preserve">"Date of Opening... 28-05-2025"</w:t>
      </w:r>
      <w:r>
        <w:t xml:space="preserve">) - ഈ കേസിനു ദിവസങ്ങൾ മുമ്പ് മാത്രം.</w:t>
      </w:r>
    </w:p>
    <w:p>
      <w:r>
        <w:t xml:space="preserve">എന്നിട്ടും Minutes, പേജ് 19: </w:t>
      </w:r>
      <w:r>
        <w:rPr>
          <w:rStyle w:val="Citation"/>
        </w:rPr>
        <w:t xml:space="preserve">"...Rs 11,45,85,900/-... Rs 54,00,000/-."</w:t>
      </w:r>
      <w:r>
        <w:t xml:space="preserve"> - voucher ഇല്ലാതെ, entries മാത്രം. അതിന്റെ ബലത്തിൽ വാടക നേരെ ട്രസ്റ്റികളിലേക്ക്: </w:t>
      </w:r>
      <w:r>
        <w:rPr>
          <w:rStyle w:val="Citation"/>
        </w:rPr>
        <w:t xml:space="preserve">"...pay back... Rameshchandran Channar... Rs 93,86,000/-, and Bimal R. Madhavan Rs 8,00,000/-... from the Trust account..."</w:t>
      </w:r>
      <w:r>
        <w:t xml:space="preserve"> കൂടാതെ loan: </w:t>
      </w:r>
      <w:r>
        <w:rPr>
          <w:rStyle w:val="Citation"/>
        </w:rPr>
        <w:t xml:space="preserve">"...Rs 45,00,000/-... 7% simple interest from the rent..."</w:t>
      </w:r>
    </w:p>
    <w:p>
      <w:pPr>
        <w:pStyle w:val="Heading4"/>
      </w:pPr>
      <w:r>
        <w:t xml:space="preserve">Conclusion</w:t>
      </w:r>
    </w:p>
    <w:p>
      <w:r>
        <w:t xml:space="preserve">18 വർഷം കണക്കില്ലെന്നു സമ്മതിച്ചവർ, independent evidence ഇല്ലാത്ത entries-ുടെ ബലത്തിൽ Rs 12 കോടിയോളം ട്രസ്റ്റ് ബാധ്യതയാക്കി, Section 51 വിലക്കുന്ന വിധം വാടക സ്വന്തം തിരിച്ചടവാക്കി. തടയൽ ബാധിക്കുന്നത് ട്രസ്റ്റികളുടെ സ്വകാര്യ recoveries മാത്രം; തുടർന്നാൽ ബാധ്യത ശാശ്വതമാകും.</w:t>
      </w:r>
    </w:p>
    <w:sectPr w:rsidR="00E63410" w:rsidRPr="0012506C">
      <w:footerReference w:type="even" r:id="rId6"/>
      <w:footerReference w:type="default" r:id="rId7"/>
      <w:footerReference w:type="first" r:id="rId8"/>
      <w:pgSz w:w="12240" w:h="20160"/>
      <w:pgMar w:top="1440" w:right="1440" w:bottom="1440" w:left="2160" w:header="0" w:footer="720" w:gutter="0"/>
      <w:pgNumType w:fmt="numberInDash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F9E3B5" w14:textId="77777777" w:rsidR="00A96A49" w:rsidRDefault="00A96A49" w:rsidP="002221B9">
      <w:pPr>
        <w:rPr>
          <w:rFonts w:hint="default"/>
        </w:rPr>
      </w:pPr>
      <w:r>
        <w:separator/>
      </w:r>
    </w:p>
  </w:endnote>
  <w:endnote w:type="continuationSeparator" w:id="0">
    <w:p w14:paraId="7DD9BADD" w14:textId="77777777" w:rsidR="00A96A49" w:rsidRDefault="00A96A49" w:rsidP="002221B9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ini">
    <w:altName w:val="Malini Condensed"/>
    <w:panose1 w:val="00000000000000000000"/>
    <w:charset w:val="00"/>
    <w:family w:val="auto"/>
    <w:pitch w:val="variable"/>
    <w:sig w:usb0="0080000F" w:usb1="00000000" w:usb2="00000000" w:usb3="00000000" w:csb0="00000003" w:csb1="00000000"/>
    <w:embedRegular r:id="rId1" w:fontKey="{8E78F572-82EA-6E46-B837-748A4BB974B0}"/>
    <w:embedBold r:id="rId2" w:fontKey="{5E18FAE2-1D1D-9048-9856-1CC9557D767B}"/>
  </w:font>
  <w:font w:name="HELVETICA NEUE CONDENSED">
    <w:panose1 w:val="02000806000000020004"/>
    <w:charset w:val="00"/>
    <w:family w:val="auto"/>
    <w:pitch w:val="variable"/>
    <w:sig w:usb0="A00002FF" w:usb1="5000205A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99A0FCDC-E18D-574D-A420-2506758F651E}"/>
  </w:font>
  <w:font w:name="Malini Condensed">
    <w:panose1 w:val="00000000000000000000"/>
    <w:charset w:val="00"/>
    <w:family w:val="auto"/>
    <w:pitch w:val="variable"/>
    <w:sig w:usb0="0080000F" w:usb1="00000000" w:usb2="00000000" w:usb3="00000000" w:csb0="00000003" w:csb1="00000000"/>
    <w:embedItalic r:id="rId5" w:fontKey="{7F351F81-97B0-504B-801B-0A6BA581C25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73715374"/>
      <w:docPartObj>
        <w:docPartGallery w:val="Page Numbers (Bottom of Page)"/>
        <w:docPartUnique/>
      </w:docPartObj>
    </w:sdtPr>
    <w:sdtContent>
      <w:p w14:paraId="46AA9DAD" w14:textId="77777777" w:rsidR="000B6AC5" w:rsidRDefault="00000000" w:rsidP="002221B9">
        <w:pPr>
          <w:rPr>
            <w:rFonts w:hint="default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0</w:t>
        </w:r>
        <w:r>
          <w:fldChar w:fldCharType="end"/>
        </w:r>
      </w:p>
    </w:sdtContent>
  </w:sdt>
  <w:p w14:paraId="1A6FE139" w14:textId="77777777" w:rsidR="000B6AC5" w:rsidRDefault="000B6AC5" w:rsidP="002221B9">
    <w:pPr>
      <w:rPr>
        <w:rFonts w:hint="defaul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91767863"/>
      <w:docPartObj>
        <w:docPartGallery w:val="Page Numbers (Bottom of Page)"/>
        <w:docPartUnique/>
      </w:docPartObj>
    </w:sdtPr>
    <w:sdtContent>
      <w:p w14:paraId="54A0587A" w14:textId="77777777" w:rsidR="000B6AC5" w:rsidRDefault="00000000" w:rsidP="002221B9">
        <w:pPr>
          <w:rPr>
            <w:rFonts w:hint="default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66F197D" w14:textId="77777777" w:rsidR="000B6AC5" w:rsidRDefault="000B6AC5" w:rsidP="002221B9">
    <w:pPr>
      <w:rPr>
        <w:rFonts w:hint="default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9880851"/>
      <w:docPartObj>
        <w:docPartGallery w:val="Page Numbers (Bottom of Page)"/>
        <w:docPartUnique/>
      </w:docPartObj>
    </w:sdtPr>
    <w:sdtContent>
      <w:p w14:paraId="7A7DA30C" w14:textId="77777777" w:rsidR="000B6AC5" w:rsidRDefault="00000000" w:rsidP="002221B9">
        <w:pPr>
          <w:rPr>
            <w:rFonts w:hint="default"/>
          </w:rPr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0E4F494" w14:textId="77777777" w:rsidR="000B6AC5" w:rsidRDefault="000B6AC5" w:rsidP="002221B9">
    <w:pPr>
      <w:rPr>
        <w:rFonts w:hint="default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473AE" w14:textId="77777777" w:rsidR="00A96A49" w:rsidRDefault="00A96A49" w:rsidP="002221B9">
      <w:pPr>
        <w:rPr>
          <w:rFonts w:hint="default"/>
        </w:rPr>
      </w:pPr>
      <w:r>
        <w:separator/>
      </w:r>
    </w:p>
  </w:footnote>
  <w:footnote w:type="continuationSeparator" w:id="0">
    <w:p w14:paraId="158D3E11" w14:textId="77777777" w:rsidR="00A96A49" w:rsidRDefault="00A96A49" w:rsidP="002221B9">
      <w:pPr>
        <w:rPr>
          <w:rFonts w:hint="default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3"/>
  <w:embedTrueTypeFont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LockTheme/>
  <w:styleLockQFSet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7DC"/>
    <w:rsid w:val="00003CFD"/>
    <w:rsid w:val="0004222F"/>
    <w:rsid w:val="000966F6"/>
    <w:rsid w:val="000A7D64"/>
    <w:rsid w:val="000B6AC5"/>
    <w:rsid w:val="0012506C"/>
    <w:rsid w:val="001603D1"/>
    <w:rsid w:val="002221B9"/>
    <w:rsid w:val="00266CA3"/>
    <w:rsid w:val="00341BF7"/>
    <w:rsid w:val="00494E42"/>
    <w:rsid w:val="0052176F"/>
    <w:rsid w:val="00624D4D"/>
    <w:rsid w:val="00631607"/>
    <w:rsid w:val="006963B3"/>
    <w:rsid w:val="006A0034"/>
    <w:rsid w:val="007427BD"/>
    <w:rsid w:val="007A766F"/>
    <w:rsid w:val="008637DC"/>
    <w:rsid w:val="00934BA8"/>
    <w:rsid w:val="0097107A"/>
    <w:rsid w:val="00994125"/>
    <w:rsid w:val="00A278BF"/>
    <w:rsid w:val="00A64CE1"/>
    <w:rsid w:val="00A653BB"/>
    <w:rsid w:val="00A96A49"/>
    <w:rsid w:val="00AA7C63"/>
    <w:rsid w:val="00C81103"/>
    <w:rsid w:val="00CA5FD0"/>
    <w:rsid w:val="00CE1363"/>
    <w:rsid w:val="00D0530C"/>
    <w:rsid w:val="00D92019"/>
    <w:rsid w:val="00DF70EF"/>
    <w:rsid w:val="00E62B13"/>
    <w:rsid w:val="00E63410"/>
    <w:rsid w:val="00F1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ml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5F35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ini" w:eastAsia="Malini" w:hAnsi="Malini" w:cs="Malini" w:hint="cs"/>
        <w:lang w:val="en-US" w:eastAsia="ml-IN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21B9"/>
    <w:pPr>
      <w:snapToGrid w:val="0"/>
      <w:spacing w:after="240"/>
      <w:jc w:val="both"/>
    </w:pPr>
    <w:rPr>
      <w:spacing w:val="-20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C81103"/>
    <w:pPr>
      <w:pBdr>
        <w:bottom w:val="single" w:sz="6" w:space="2" w:color="000000"/>
      </w:pBdr>
      <w:spacing w:before="240"/>
      <w:jc w:val="left"/>
      <w:outlineLvl w:val="3"/>
    </w:pPr>
    <w:rPr>
      <w:rFonts w:ascii="HELVETICA NEUE CONDENSED" w:eastAsia="HELVETICA NEUE CONDENSED" w:hAnsi="HELVETICA NEUE CONDENSED" w:cs="HELVETICA NEUE CONDENSED"/>
      <w:b/>
      <w:bCs/>
      <w:cap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rgeLetter">
    <w:name w:val="Large Letter"/>
    <w:basedOn w:val="Normal"/>
    <w:next w:val="Normal"/>
    <w:uiPriority w:val="1"/>
    <w:qFormat/>
    <w:rsid w:val="00C81103"/>
    <w:pPr>
      <w:spacing w:after="0" w:line="1600" w:lineRule="exact"/>
      <w:jc w:val="center"/>
    </w:pPr>
    <w:rPr>
      <w:rFonts w:ascii="HELVETICA NEUE CONDENSED" w:eastAsia="HELVETICA NEUE CONDENSED" w:hAnsi="HELVETICA NEUE CONDENSED" w:cs="HELVETICA NEUE CONDENSED"/>
      <w:b/>
      <w:bCs/>
      <w:sz w:val="176"/>
      <w:szCs w:val="176"/>
    </w:rPr>
  </w:style>
  <w:style w:type="paragraph" w:customStyle="1" w:styleId="Heading11">
    <w:name w:val="Heading 11"/>
    <w:basedOn w:val="Normal"/>
    <w:next w:val="Normal"/>
    <w:uiPriority w:val="3"/>
    <w:qFormat/>
    <w:rsid w:val="00C81103"/>
    <w:pPr>
      <w:spacing w:after="0"/>
      <w:jc w:val="left"/>
      <w:outlineLvl w:val="0"/>
    </w:pPr>
    <w:rPr>
      <w:b/>
      <w:bCs/>
      <w:sz w:val="48"/>
      <w:szCs w:val="48"/>
      <w14:textOutline w14:w="9525" w14:cap="rnd" w14:cmpd="sng" w14:algn="ctr">
        <w14:solidFill>
          <w14:schemeClr w14:val="tx1"/>
        </w14:solidFill>
        <w14:prstDash w14:val="solid"/>
        <w14:bevel/>
      </w14:textOutline>
    </w:rPr>
  </w:style>
  <w:style w:type="character" w:customStyle="1" w:styleId="Citation">
    <w:name w:val="Citation"/>
    <w:uiPriority w:val="5"/>
    <w:qFormat/>
    <w:rsid w:val="00624D4D"/>
    <w:rPr>
      <w:rFonts w:ascii="Malini Condensed" w:eastAsia="Malini Condensed" w:hAnsi="Malini Condensed" w:cs="Malini Condensed" w:hint="cs"/>
      <w:i/>
      <w:iCs/>
      <w:color w:val="404040" w:themeColor="text1" w:themeTint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alini"/>
        <a:ea typeface="Malini"/>
        <a:cs typeface="Malini"/>
      </a:majorFont>
      <a:minorFont>
        <a:latin typeface="Malini"/>
        <a:ea typeface="Malini"/>
        <a:cs typeface="Malini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