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Application for Transfer of Investigation to the Crime Branch</w:t>
      </w:r>
    </w:p>
    <w:p>
      <w:pPr>
        <w:spacing w:after="160"/>
        <w:jc w:val="both"/>
      </w:pPr>
      <w:r>
        <w:rPr>
          <w:i/>
          <w:iCs/>
        </w:rPr>
        <w:t xml:space="preserve">To be filed in the proceedings arising from CMP 2828/2024 before the Hon’ble Judicial First Class Magistrate Court-I, Haripad. (Facts are set out in the accompanying Statement of Facts, relied upon.)</w:t>
      </w:r>
    </w:p>
    <w:p>
      <w:pPr>
        <w:spacing w:after="160"/>
        <w:jc w:val="both"/>
      </w:pPr>
      <w:r>
        <w:t xml:space="preserve">The petitioner, </w:t>
      </w:r>
      <w:r>
        <w:rPr>
          <w:b/>
          <w:bCs/>
        </w:rPr>
        <w:t xml:space="preserve">Anoop Madhavan, S/o Radhakrishnan Madhavan</w:t>
      </w:r>
      <w:r>
        <w:t xml:space="preserve">, respectfully submits:</w:t>
      </w:r>
    </w:p>
    <w:p>
      <w:pPr>
        <w:pStyle w:val="ListParagraph"/>
        <w:jc w:val="both"/>
      </w:pPr>
      <w:r>
        <w:t xml:space="preserve">The petitioner is the complainant in </w:t>
      </w:r>
      <w:r>
        <w:rPr>
          <w:b/>
          <w:bCs/>
        </w:rPr>
        <w:t xml:space="preserve">CMP 2828/2024</w:t>
      </w:r>
      <w:r>
        <w:t xml:space="preserve"> arising from the assault upon him on 09.08.2024 at Alummoottil Meda. He apprehends that a fair and impartial investigation cannot be expected of the local police, on the following grounds.</w:t>
      </w:r>
    </w:p>
    <w:p>
      <w:pPr>
        <w:spacing w:after="100"/>
        <w:ind w:left="720" w:hanging="340"/>
        <w:jc w:val="both"/>
      </w:pPr>
      <w:r>
        <w:t xml:space="preserve">(a)  </w:t>
      </w:r>
      <w:r>
        <w:rPr>
          <w:b/>
          <w:bCs/>
        </w:rPr>
        <w:t xml:space="preserve">On the petitioner’s own complaint</w:t>
      </w:r>
      <w:r>
        <w:t xml:space="preserve"> (Nos. 15281021-2024-5-00770 and 15281021-2024-5-00825) </w:t>
      </w:r>
      <w:r>
        <w:rPr>
          <w:b/>
          <w:bCs/>
        </w:rPr>
        <w:t xml:space="preserve">no FIR was registered and the Station records no attempt to contact the petitioner</w:t>
      </w:r>
      <w:r>
        <w:t xml:space="preserve">; instead, on 21.09.2024 the Station e-mailed the petitioner that his complaint stood “closed” without investigation. FIR No. 956/2024 was registered only on 17.12.2024 — </w:t>
      </w:r>
      <w:r>
        <w:rPr>
          <w:b/>
          <w:bCs/>
        </w:rPr>
        <w:t xml:space="preserve">130 days later</w:t>
      </w:r>
      <w:r>
        <w:t xml:space="preserve"> — and only on a Home Ministry reference.</w:t>
      </w:r>
    </w:p>
    <w:p>
      <w:pPr>
        <w:spacing w:after="100"/>
        <w:ind w:left="720" w:hanging="340"/>
        <w:jc w:val="both"/>
      </w:pPr>
      <w:r>
        <w:t xml:space="preserve">(b)  On the very next day after the incident, the same Station </w:t>
      </w:r>
      <w:r>
        <w:rPr>
          <w:b/>
          <w:bCs/>
        </w:rPr>
        <w:t xml:space="preserve">registered FIR No. 574/2024 against the petitioner within 58 minutes</w:t>
      </w:r>
      <w:r>
        <w:t xml:space="preserve"> of an oral complaint, recorded and signed by </w:t>
      </w:r>
      <w:r>
        <w:rPr>
          <w:b/>
          <w:bCs/>
        </w:rPr>
        <w:t xml:space="preserve">SI (Gr) Vishal V (PEN 170080)</w:t>
      </w:r>
      <w:r>
        <w:t xml:space="preserve"> — the same officer who had attended the petitioner’s 112 call and conducted the enquiry on the petitioner’s own petition </w:t>
      </w:r>
      <w:r>
        <w:rPr>
          <w:b/>
          <w:bCs/>
        </w:rPr>
        <w:t xml:space="preserve">without registering any FIR</w:t>
      </w:r>
      <w:r>
        <w:t xml:space="preserve">.</w:t>
      </w:r>
    </w:p>
    <w:p>
      <w:pPr>
        <w:spacing w:after="100"/>
        <w:ind w:left="720" w:hanging="340"/>
        <w:jc w:val="both"/>
      </w:pPr>
      <w:r>
        <w:t xml:space="preserve">(c)  In CMP 2828/2024 the petitioner named six accused — </w:t>
      </w:r>
      <w:r>
        <w:rPr>
          <w:b/>
          <w:bCs/>
        </w:rPr>
        <w:t xml:space="preserve">Sivadasan and Ramesh Chandra (who orchestrated the attack), Natarajan, Nandakumar, Arun B Unni and Stalin</w:t>
      </w:r>
      <w:r>
        <w:t xml:space="preserve">. In Crime No. 956/2024 the police arrayed only </w:t>
      </w:r>
      <w:r>
        <w:rPr>
          <w:b/>
          <w:bCs/>
        </w:rPr>
        <w:t xml:space="preserve">Nadarajan, Nandakumar, Bobi and Stalin</w:t>
      </w:r>
      <w:r>
        <w:t xml:space="preserve"> — thereby </w:t>
      </w:r>
      <w:r>
        <w:rPr>
          <w:b/>
          <w:bCs/>
        </w:rPr>
        <w:t xml:space="preserve">omitting the two orchestrators and Arun B Unni</w:t>
      </w:r>
      <w:r>
        <w:t xml:space="preserve"> (the very person who had filed the counter-FIR against the petitioner), and </w:t>
      </w:r>
      <w:r>
        <w:rPr>
          <w:b/>
          <w:bCs/>
        </w:rPr>
        <w:t xml:space="preserve">adding one Bobi, whom the petitioner never named</w:t>
      </w:r>
      <w:r>
        <w:t xml:space="preserve"> and who appears in </w:t>
      </w:r>
      <w:r>
        <w:rPr>
          <w:b/>
          <w:bCs/>
        </w:rPr>
        <w:t xml:space="preserve">FIR 574/2024 as a co-worker of its complainant</w:t>
      </w:r>
      <w:r>
        <w:t xml:space="preserve"> — the same persons placed on opposite sides by the same Station.</w:t>
      </w:r>
    </w:p>
    <w:p>
      <w:pPr>
        <w:spacing w:after="100"/>
        <w:ind w:left="720" w:hanging="340"/>
        <w:jc w:val="both"/>
      </w:pPr>
      <w:r>
        <w:t xml:space="preserve">(d)  In Crime No. 956/2024 the accused were </w:t>
      </w:r>
      <w:r>
        <w:rPr>
          <w:b/>
          <w:bCs/>
        </w:rPr>
        <w:t xml:space="preserve">not arrested, were served only notice under Section 35(3) BNSS</w:t>
      </w:r>
      <w:r>
        <w:t xml:space="preserve">, and the weapon was not recovered owing to the delay.</w:t>
      </w:r>
    </w:p>
    <w:p>
      <w:pPr>
        <w:pStyle w:val="ListParagraph"/>
        <w:jc w:val="both"/>
      </w:pPr>
      <w:r>
        <w:t xml:space="preserve">The foregoing gives rise to a </w:t>
      </w:r>
      <w:r>
        <w:rPr>
          <w:b/>
          <w:bCs/>
        </w:rPr>
        <w:t xml:space="preserve">reasonable apprehension of partiality and suppression</w:t>
      </w:r>
      <w:r>
        <w:t xml:space="preserve">, such that the investigation ought not to remain with the local police.</w:t>
      </w:r>
    </w:p>
    <w:p>
      <w:pPr>
        <w:pStyle w:val="Heading1"/>
        <w:numPr>
          <w:ilvl w:val="0"/>
          <w:numId w:val="0"/>
        </w:numPr>
      </w:pPr>
      <w:r>
        <w:t xml:space="preserve">Prayer</w:t>
      </w:r>
    </w:p>
    <w:p>
      <w:pPr>
        <w:spacing w:after="160"/>
        <w:jc w:val="both"/>
      </w:pPr>
      <w:r>
        <w:t xml:space="preserve">It is therefore prayed that this Hon’ble Court be pleased to </w:t>
      </w:r>
      <w:r>
        <w:rPr>
          <w:b/>
          <w:bCs/>
        </w:rPr>
        <w:t xml:space="preserve">entrust / transfer the investigation arising from CMP 2828/2024 to the Crime Branch</w:t>
      </w:r>
      <w:r>
        <w:t xml:space="preserve">, to </w:t>
      </w:r>
      <w:r>
        <w:rPr>
          <w:b/>
          <w:bCs/>
        </w:rPr>
        <w:t xml:space="preserve">monitor the investigation under its supervision</w:t>
      </w:r>
      <w:r>
        <w:t xml:space="preserve">, and to pass such further orders as it deems fit and proper in the interest of justice.</w:t>
      </w:r>
    </w:p>
    <w:p/>
    <w:p>
      <w:pPr>
        <w:spacing w:after="0"/>
        <w:jc w:val="both"/>
      </w:pPr>
      <w:r>
        <w:t xml:space="preserve">Deponent: ……………………          Date: ……………          Place: ……………</w:t>
      </w:r>
    </w:p>
    <w:sectPr w:rsidR="0070343F" w:rsidRPr="003064AE" w:rsidSect="003064AE">
      <w:pgSz w:w="12240" w:h="15840"/>
      <w:pgMar w:top="1440" w:right="1440" w:bottom="1440" w:left="21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0A2"/>
    <w:multiLevelType w:val="hybridMultilevel"/>
    <w:tmpl w:val="9C107F86"/>
    <w:lvl w:ilvl="0" w:tplc="B316C602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43571"/>
    <w:multiLevelType w:val="hybridMultilevel"/>
    <w:tmpl w:val="2DA6951A"/>
    <w:lvl w:ilvl="0" w:tplc="8D7EC322">
      <w:start w:val="1"/>
      <w:numFmt w:val="decimal"/>
      <w:pStyle w:val="ListParagraph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8EF0E1F"/>
    <w:multiLevelType w:val="hybridMultilevel"/>
    <w:tmpl w:val="CAFCB034"/>
    <w:lvl w:ilvl="0" w:tplc="447CB1F4">
      <w:start w:val="1"/>
      <w:numFmt w:val="bullet"/>
      <w:lvlText w:val="●"/>
      <w:lvlJc w:val="left"/>
      <w:pPr>
        <w:ind w:left="720" w:hanging="360"/>
      </w:pPr>
    </w:lvl>
    <w:lvl w:ilvl="1" w:tplc="743E1184">
      <w:start w:val="1"/>
      <w:numFmt w:val="bullet"/>
      <w:lvlText w:val="○"/>
      <w:lvlJc w:val="left"/>
      <w:pPr>
        <w:ind w:left="1440" w:hanging="360"/>
      </w:pPr>
    </w:lvl>
    <w:lvl w:ilvl="2" w:tplc="71902284">
      <w:start w:val="1"/>
      <w:numFmt w:val="bullet"/>
      <w:lvlText w:val="■"/>
      <w:lvlJc w:val="left"/>
      <w:pPr>
        <w:ind w:left="2160" w:hanging="360"/>
      </w:pPr>
    </w:lvl>
    <w:lvl w:ilvl="3" w:tplc="96A0EE74">
      <w:start w:val="1"/>
      <w:numFmt w:val="bullet"/>
      <w:lvlText w:val="●"/>
      <w:lvlJc w:val="left"/>
      <w:pPr>
        <w:ind w:left="2880" w:hanging="360"/>
      </w:pPr>
    </w:lvl>
    <w:lvl w:ilvl="4" w:tplc="7B4A5276">
      <w:start w:val="1"/>
      <w:numFmt w:val="bullet"/>
      <w:lvlText w:val="○"/>
      <w:lvlJc w:val="left"/>
      <w:pPr>
        <w:ind w:left="3600" w:hanging="360"/>
      </w:pPr>
    </w:lvl>
    <w:lvl w:ilvl="5" w:tplc="E698F086">
      <w:start w:val="1"/>
      <w:numFmt w:val="bullet"/>
      <w:lvlText w:val="■"/>
      <w:lvlJc w:val="left"/>
      <w:pPr>
        <w:ind w:left="4320" w:hanging="360"/>
      </w:pPr>
    </w:lvl>
    <w:lvl w:ilvl="6" w:tplc="0A967F74">
      <w:start w:val="1"/>
      <w:numFmt w:val="bullet"/>
      <w:lvlText w:val="●"/>
      <w:lvlJc w:val="left"/>
      <w:pPr>
        <w:ind w:left="5040" w:hanging="360"/>
      </w:pPr>
    </w:lvl>
    <w:lvl w:ilvl="7" w:tplc="2B1C152E">
      <w:start w:val="1"/>
      <w:numFmt w:val="bullet"/>
      <w:lvlText w:val="●"/>
      <w:lvlJc w:val="left"/>
      <w:pPr>
        <w:ind w:left="5760" w:hanging="360"/>
      </w:pPr>
    </w:lvl>
    <w:lvl w:ilvl="8" w:tplc="C72A46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952F14"/>
    <w:multiLevelType w:val="hybridMultilevel"/>
    <w:tmpl w:val="9F60AB22"/>
    <w:lvl w:ilvl="0" w:tplc="C78A9318">
      <w:start w:val="1"/>
      <w:numFmt w:val="decimal"/>
      <w:lvlText w:val="%1."/>
      <w:lvlJc w:val="left"/>
      <w:pPr>
        <w:ind w:left="540" w:hanging="360"/>
      </w:pPr>
    </w:lvl>
    <w:lvl w:ilvl="1" w:tplc="858E39DC">
      <w:numFmt w:val="decimal"/>
      <w:lvlText w:val=""/>
      <w:lvlJc w:val="left"/>
    </w:lvl>
    <w:lvl w:ilvl="2" w:tplc="0EA899EE">
      <w:numFmt w:val="decimal"/>
      <w:lvlText w:val=""/>
      <w:lvlJc w:val="left"/>
    </w:lvl>
    <w:lvl w:ilvl="3" w:tplc="B42C9024">
      <w:numFmt w:val="decimal"/>
      <w:lvlText w:val=""/>
      <w:lvlJc w:val="left"/>
    </w:lvl>
    <w:lvl w:ilvl="4" w:tplc="2460D896">
      <w:numFmt w:val="decimal"/>
      <w:lvlText w:val=""/>
      <w:lvlJc w:val="left"/>
    </w:lvl>
    <w:lvl w:ilvl="5" w:tplc="AE768230">
      <w:numFmt w:val="decimal"/>
      <w:lvlText w:val=""/>
      <w:lvlJc w:val="left"/>
    </w:lvl>
    <w:lvl w:ilvl="6" w:tplc="005E7C8A">
      <w:numFmt w:val="decimal"/>
      <w:lvlText w:val=""/>
      <w:lvlJc w:val="left"/>
    </w:lvl>
    <w:lvl w:ilvl="7" w:tplc="3E82954C">
      <w:numFmt w:val="decimal"/>
      <w:lvlText w:val=""/>
      <w:lvlJc w:val="left"/>
    </w:lvl>
    <w:lvl w:ilvl="8" w:tplc="15781008">
      <w:numFmt w:val="decimal"/>
      <w:lvlText w:val=""/>
      <w:lvlJc w:val="left"/>
    </w:lvl>
  </w:abstractNum>
  <w:num w:numId="1" w16cid:durableId="565844637">
    <w:abstractNumId w:val="2"/>
    <w:lvlOverride w:ilvl="0">
      <w:startOverride w:val="1"/>
    </w:lvlOverride>
  </w:num>
  <w:num w:numId="2" w16cid:durableId="1198933248">
    <w:abstractNumId w:val="3"/>
    <w:lvlOverride w:ilvl="0">
      <w:startOverride w:val="1"/>
    </w:lvlOverride>
  </w:num>
  <w:num w:numId="3" w16cid:durableId="1995599583">
    <w:abstractNumId w:val="1"/>
  </w:num>
  <w:num w:numId="4" w16cid:durableId="80091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43F"/>
    <w:rsid w:val="003064AE"/>
    <w:rsid w:val="004727B2"/>
    <w:rsid w:val="0070343F"/>
    <w:rsid w:val="00C2748D"/>
    <w:rsid w:val="00C6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33EBA"/>
  <w15:docId w15:val="{6B85980C-0D81-E84A-B8F9-74293953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4AE"/>
    <w:pPr>
      <w:snapToGrid w:val="0"/>
      <w:spacing w:before="120" w:after="120" w:line="240" w:lineRule="auto"/>
      <w:jc w:val="both"/>
    </w:pPr>
    <w:rPr>
      <w:rFonts w:ascii="Cambria" w:hAnsi="Cambria"/>
      <w:spacing w:val="-10"/>
    </w:rPr>
  </w:style>
  <w:style w:type="paragraph" w:styleId="Heading1">
    <w:name w:val="heading 1"/>
    <w:uiPriority w:val="9"/>
    <w:qFormat/>
    <w:rsid w:val="003064AE"/>
    <w:pPr>
      <w:numPr>
        <w:numId w:val="4"/>
      </w:numPr>
      <w:ind w:left="360" w:hanging="360"/>
      <w:outlineLvl w:val="0"/>
    </w:pPr>
    <w:rPr>
      <w:rFonts w:ascii="HELVETICA NEUE CONDENSED" w:hAnsi="HELVETICA NEUE CONDENSED"/>
      <w:b/>
      <w:bCs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3064AE"/>
    <w:pPr>
      <w:jc w:val="center"/>
    </w:pPr>
    <w:rPr>
      <w:rFonts w:ascii="HELVETICA NEUE CONDENSED BLACK" w:hAnsi="HELVETICA NEUE CONDENSED BLACK"/>
      <w:b/>
      <w:bCs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4727B2"/>
    <w:pPr>
      <w:numPr>
        <w:numId w:val="3"/>
      </w:numPr>
      <w:snapToGrid w:val="0"/>
      <w:spacing w:before="120" w:after="120" w:line="240" w:lineRule="auto"/>
      <w:ind w:left="360"/>
      <w:jc w:val="both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3064AE"/>
    <w:pPr>
      <w:snapToGrid w:val="0"/>
      <w:spacing w:line="240" w:lineRule="auto"/>
      <w:jc w:val="both"/>
    </w:pPr>
    <w:rPr>
      <w:rFonts w:ascii="Cambria" w:hAnsi="Cambria"/>
      <w:spacing w:val="-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Anoop Madhavan</cp:lastModifiedBy>
  <cp:revision>3</cp:revision>
  <dcterms:created xsi:type="dcterms:W3CDTF">2026-06-03T14:22:00Z</dcterms:created>
  <dcterms:modified xsi:type="dcterms:W3CDTF">2026-06-03T15:09:00Z</dcterms:modified>
</cp:coreProperties>
</file>