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 xml:space="preserve">IA 5/2026 — EXECUTIVE SUMMARY</w:t>
      </w:r>
    </w:p>
    <w:p>
      <w:pPr>
        <w:pStyle w:val="Heading5"/>
      </w:pPr>
      <w:r>
        <w:t xml:space="preserve">THE APPLICATION</w:t>
      </w:r>
    </w:p>
    <w:p>
      <w:pPr>
        <w:pStyle w:val="Heading6"/>
      </w:pPr>
      <w:r>
        <w:t xml:space="preserve">Temporary injunction restraining D2 from altering the status quo (pendente lite to OS 84/24, OS 243/24 and this OS). Do not allow the public into the heritage property.</w:t>
      </w:r>
      <w:r>
        <w:rPr>
          <w:color w:val="0070C0"/>
        </w:rPr>
        <w:t xml:space="preserve"> (see C5)</w:t>
      </w:r>
    </w:p>
    <w:p>
      <w:pPr>
        <w:pStyle w:val="Heading5"/>
      </w:pPr>
      <w:r>
        <w:t xml:space="preserve">PRIMA FACIE — A VOID, SELF-DEALING LEASE</w:t>
      </w:r>
    </w:p>
    <w:p>
      <w:pPr>
        <w:pStyle w:val="Heading6"/>
      </w:pPr>
      <w:r>
        <w:t xml:space="preserve">IA 5/2025 was “closed on affidavit”, not on merits. On 16.02.2026 D2 swore “nothing material has been concealed”; when the Plaintiff challenged, D2 produced 4 docs on 18.05.2026, destroying his affidavit. An order obtained through fraud can be recalled (Chengalvaraya).</w:t>
      </w:r>
      <w:r>
        <w:rPr>
          <w:color w:val="0070C0"/>
        </w:rPr>
        <w:t xml:space="preserve"> (see B8, B9, B11)</w:t>
      </w:r>
    </w:p>
    <w:p>
      <w:pPr>
        <w:pStyle w:val="Heading6"/>
      </w:pPr>
      <w:r>
        <w:t xml:space="preserve">On this property, this court has already found no prima facie case for D2, and that the Plaintiff would be "denuded" of his right (OS 243/2024, 03.12.2025).</w:t>
      </w:r>
      <w:r>
        <w:rPr>
          <w:color w:val="0070C0"/>
        </w:rPr>
        <w:t xml:space="preserve"> (see J1, J2)</w:t>
      </w:r>
    </w:p>
    <w:p>
      <w:pPr>
        <w:pStyle w:val="Heading6"/>
      </w:pPr>
      <w:r>
        <w:t xml:space="preserve">D2 alone signed the lease — no co-trustee, no prior resolution before the lease; Trustees "ratified" it only 89 days later, while three OS were pending in this court.</w:t>
      </w:r>
      <w:r>
        <w:rPr>
          <w:color w:val="0070C0"/>
        </w:rPr>
        <w:t xml:space="preserve"> (see L1, L2, L3)</w:t>
      </w:r>
    </w:p>
    <w:p>
      <w:pPr>
        <w:pStyle w:val="Heading6"/>
      </w:pPr>
      <w:r>
        <w:t xml:space="preserve">D2 engineered his own lessee — his NOC seated it at the Meda, his electricity bill was its address proof, GST registration — all before ratification.</w:t>
      </w:r>
      <w:r>
        <w:rPr>
          <w:color w:val="0070C0"/>
        </w:rPr>
        <w:t xml:space="preserve"> (see N1, N2, N3)</w:t>
      </w:r>
    </w:p>
    <w:p>
      <w:pPr>
        <w:pStyle w:val="Heading6"/>
      </w:pPr>
      <w:r>
        <w:t xml:space="preserve">A flat Rs 60,000/month for 10 years — no rent increase, no security deposit, no valuation, no bidding — for a property worth 15+ crore.</w:t>
      </w:r>
      <w:r>
        <w:rPr>
          <w:color w:val="0070C0"/>
        </w:rPr>
        <w:t xml:space="preserve"> (see M1, M2)</w:t>
      </w:r>
    </w:p>
    <w:p>
      <w:pPr>
        <w:pStyle w:val="Heading6"/>
      </w:pPr>
      <w:r>
        <w:t xml:space="preserve">Rent of the next 14 years to repay D2 and son’s own “no accounts” expense of Rs 1,01,86,000.</w:t>
      </w:r>
      <w:r>
        <w:rPr>
          <w:color w:val="0070C0"/>
        </w:rPr>
        <w:t xml:space="preserve"> (see N6)</w:t>
      </w:r>
    </w:p>
    <w:p>
      <w:pPr>
        <w:pStyle w:val="Heading6"/>
      </w:pPr>
      <w:r>
        <w:t xml:space="preserve">Even the ratification, 89 days later, authorizes D2 to lease ONLY the Meda (plinth &lt;5 Ares) for 10 years. D2 leased out 29+ Ares for 10 years. An AGOP, MOA and four leases are still not produced.</w:t>
      </w:r>
      <w:r>
        <w:rPr>
          <w:color w:val="0070C0"/>
        </w:rPr>
        <w:t xml:space="preserve"> (see M3, M4, H2)</w:t>
      </w:r>
    </w:p>
    <w:p>
      <w:pPr>
        <w:pStyle w:val="Heading5"/>
      </w:pPr>
      <w:r>
        <w:t xml:space="preserve">IRREPARABLE INJURY — THE HERITAGE CANNOT BE UNDONE</w:t>
      </w:r>
    </w:p>
    <w:p>
      <w:pPr>
        <w:pStyle w:val="Heading6"/>
      </w:pPr>
      <w:r>
        <w:t xml:space="preserve">The 120-year Meda and 400-year Nalukettu are family homes for their entire history. They are being turned into a commercial ayurvedic centre; the lessee is approved to "build a treatment block", a permanent structure the lease itself forbids.</w:t>
      </w:r>
      <w:r>
        <w:rPr>
          <w:color w:val="0070C0"/>
        </w:rPr>
        <w:t xml:space="preserve"> (see Q4, I1, I2)</w:t>
      </w:r>
    </w:p>
    <w:p>
      <w:pPr>
        <w:pStyle w:val="Heading6"/>
      </w:pPr>
      <w:r>
        <w:t xml:space="preserve">Antiques were handed to the lessee before any inventory; two valuables are already reported missing in IA 9/2025.</w:t>
      </w:r>
      <w:r>
        <w:rPr>
          <w:color w:val="0070C0"/>
        </w:rPr>
        <w:t xml:space="preserve"> (see P3, P5)</w:t>
      </w:r>
    </w:p>
    <w:p>
      <w:pPr>
        <w:pStyle w:val="Heading5"/>
      </w:pPr>
      <w:r>
        <w:t xml:space="preserve">BALANCE OF CONVENIENCE</w:t>
      </w:r>
    </w:p>
    <w:p>
      <w:pPr>
        <w:pStyle w:val="Heading6"/>
      </w:pPr>
      <w:r>
        <w:t xml:space="preserve">D2 loses nothing; the Trust has already lost crores, and now its heirlooms too; for the next 14 years the rent will flow to D2, not to it.</w:t>
      </w:r>
      <w:r>
        <w:rPr>
          <w:color w:val="0070C0"/>
        </w:rPr>
        <w:t xml:space="preserve"> (see R3, R4, R5)</w:t>
      </w:r>
    </w:p>
    <w:p>
      <w:pPr>
        <w:pStyle w:val="Heading6"/>
      </w:pPr>
      <w:r>
        <w:t xml:space="preserve">Plaintiff is shut from his childhood home for up to 10/20 years.</w:t>
      </w:r>
      <w:r>
        <w:rPr>
          <w:color w:val="0070C0"/>
        </w:rPr>
        <w:t xml:space="preserve"> (see R2, R5, R6)</w:t>
      </w:r>
    </w:p>
    <w:p>
      <w:pPr>
        <w:pStyle w:val="Heading5"/>
      </w:pPr>
      <w:r>
        <w:t xml:space="preserve">RELIEF</w:t>
      </w:r>
    </w:p>
    <w:p>
      <w:pPr>
        <w:pStyle w:val="Heading6"/>
      </w:pPr>
      <w:r>
        <w:t xml:space="preserve">Restrain D2 from altering the status quo and from allowing the public into the property; hold the status quo of the building and antiques pending trial.</w:t>
      </w:r>
      <w:r>
        <w:rPr>
          <w:color w:val="0070C0"/>
        </w:rPr>
        <w:t xml:space="preserve"> (see C5, C3)</w:t>
      </w:r>
    </w:p>
    <w:sectPr w:rsidR="00344941" w:rsidRPr="00926216" w:rsidSect="0016309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0" w:footer="720" w:gutter="0"/>
      <w:pgNumType w:fmt="numberInDash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B9A2" w14:textId="77777777" w:rsidR="00564C09" w:rsidRDefault="00564C09" w:rsidP="00494E42">
      <w:r>
        <w:separator/>
      </w:r>
    </w:p>
  </w:endnote>
  <w:endnote w:type="continuationSeparator" w:id="0">
    <w:p w14:paraId="4BBA3C13" w14:textId="77777777" w:rsidR="00564C09" w:rsidRDefault="00564C09" w:rsidP="00494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Malini">
    <w:altName w:val="Malini Condensed"/>
    <w:panose1 w:val="00000000000000000000"/>
    <w:charset w:val="00"/>
    <w:family w:val="auto"/>
    <w:pitch w:val="variable"/>
    <w:sig w:usb0="0080000F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3715374"/>
      <w:docPartObj>
        <w:docPartGallery w:val="Page Numbers (Bottom of Page)"/>
        <w:docPartUnique/>
      </w:docPartObj>
    </w:sdtPr>
    <w:sdtContent>
      <w:p w14:paraId="42A0AB26" w14:textId="77777777" w:rsidR="000B6AC5" w:rsidRDefault="00000000" w:rsidP="00494E42">
        <w:pPr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28D2B80F" w14:textId="77777777" w:rsidR="000B6AC5" w:rsidRDefault="000B6AC5" w:rsidP="00494E4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767863"/>
      <w:docPartObj>
        <w:docPartGallery w:val="Page Numbers (Bottom of Page)"/>
        <w:docPartUnique/>
      </w:docPartObj>
    </w:sdtPr>
    <w:sdtContent>
      <w:p w14:paraId="108F63DB" w14:textId="77777777" w:rsidR="000B6AC5" w:rsidRDefault="00000000" w:rsidP="00494E42">
        <w:pPr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F68D1E" w14:textId="77777777" w:rsidR="000B6AC5" w:rsidRDefault="000B6AC5" w:rsidP="00494E4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9880851"/>
      <w:docPartObj>
        <w:docPartGallery w:val="Page Numbers (Bottom of Page)"/>
        <w:docPartUnique/>
      </w:docPartObj>
    </w:sdtPr>
    <w:sdtContent>
      <w:p w14:paraId="5E5BE403" w14:textId="77777777" w:rsidR="000B6AC5" w:rsidRDefault="00000000" w:rsidP="00494E42">
        <w:pPr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471E16" w14:textId="77777777" w:rsidR="000B6AC5" w:rsidRDefault="000B6AC5" w:rsidP="00494E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1A1C7" w14:textId="77777777" w:rsidR="00564C09" w:rsidRDefault="00564C09" w:rsidP="00494E42">
      <w:r>
        <w:separator/>
      </w:r>
    </w:p>
  </w:footnote>
  <w:footnote w:type="continuationSeparator" w:id="0">
    <w:p w14:paraId="092E6334" w14:textId="77777777" w:rsidR="00564C09" w:rsidRDefault="00564C09" w:rsidP="00494E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0C455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BC6310"/>
    <w:multiLevelType w:val="multilevel"/>
    <w:tmpl w:val="5DBC519E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E6C1C46"/>
    <w:multiLevelType w:val="hybridMultilevel"/>
    <w:tmpl w:val="4BA466C8"/>
    <w:lvl w:ilvl="0" w:tplc="993862CA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21479"/>
    <w:multiLevelType w:val="multilevel"/>
    <w:tmpl w:val="7C1C9B92"/>
    <w:lvl w:ilvl="0">
      <w:start w:val="1"/>
      <w:numFmt w:val="decimal"/>
      <w:lvlText w:val="%1)"/>
      <w:lvlJc w:val="left"/>
      <w:pPr>
        <w:tabs>
          <w:tab w:val="num" w:pos="0"/>
        </w:tabs>
        <w:ind w:left="547" w:hanging="547"/>
      </w:pPr>
    </w:lvl>
    <w:lvl w:ilvl="1">
      <w:start w:val="1"/>
      <w:numFmt w:val="upp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1440" w:hanging="36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2C615D0"/>
    <w:multiLevelType w:val="multilevel"/>
    <w:tmpl w:val="26421280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decimal"/>
      <w:lvlText w:val="%1.%2)"/>
      <w:lvlJc w:val="left"/>
      <w:pPr>
        <w:ind w:left="2160" w:hanging="360"/>
      </w:pPr>
    </w:lvl>
    <w:lvl w:ilvl="2">
      <w:start w:val="1"/>
      <w:numFmt w:val="decimal"/>
      <w:lvlText w:val="%1.%2.%3)"/>
      <w:lvlJc w:val="left"/>
      <w:pPr>
        <w:ind w:left="2520" w:hanging="360"/>
      </w:pPr>
    </w:lvl>
    <w:lvl w:ilvl="3">
      <w:start w:val="1"/>
      <w:numFmt w:val="decimal"/>
      <w:lvlText w:val="%1.%2.%3.%4)"/>
      <w:lvlJc w:val="left"/>
      <w:pPr>
        <w:ind w:left="2880" w:hanging="360"/>
      </w:pPr>
    </w:lvl>
    <w:lvl w:ilvl="4">
      <w:start w:val="1"/>
      <w:numFmt w:val="decimal"/>
      <w:lvlText w:val="%1.%2.%3.%4.%5)"/>
      <w:lvlJc w:val="left"/>
      <w:pPr>
        <w:ind w:left="3240" w:hanging="360"/>
      </w:pPr>
    </w:lvl>
    <w:lvl w:ilvl="5">
      <w:start w:val="1"/>
      <w:numFmt w:val="decimal"/>
      <w:lvlText w:val="%1.%2.%3.%4.%5.%6)"/>
      <w:lvlJc w:val="left"/>
      <w:pPr>
        <w:ind w:left="3600" w:hanging="360"/>
      </w:pPr>
    </w:lvl>
    <w:lvl w:ilvl="6">
      <w:start w:val="1"/>
      <w:numFmt w:val="decimal"/>
      <w:lvlText w:val="%1.%2.%3.%4.%5.%6.%7)"/>
      <w:lvlJc w:val="left"/>
      <w:pPr>
        <w:ind w:left="3960" w:hanging="360"/>
      </w:pPr>
    </w:lvl>
    <w:lvl w:ilvl="7">
      <w:start w:val="1"/>
      <w:numFmt w:val="decimal"/>
      <w:lvlText w:val="%1.%2.%3.%4.%5.%6.%7.%8)"/>
      <w:lvlJc w:val="left"/>
      <w:pPr>
        <w:ind w:left="4320" w:hanging="360"/>
      </w:pPr>
    </w:lvl>
    <w:lvl w:ilvl="8">
      <w:start w:val="1"/>
      <w:numFmt w:val="decimal"/>
      <w:lvlText w:val="%1.%2.%3.%4.%5.%6.%7.%8.%9)"/>
      <w:lvlJc w:val="left"/>
      <w:pPr>
        <w:ind w:left="4680" w:hanging="360"/>
      </w:pPr>
    </w:lvl>
  </w:abstractNum>
  <w:abstractNum w:abstractNumId="5" w15:restartNumberingAfterBreak="0">
    <w:nsid w:val="35F81891"/>
    <w:multiLevelType w:val="multilevel"/>
    <w:tmpl w:val="30E2A7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E530ED9"/>
    <w:multiLevelType w:val="multilevel"/>
    <w:tmpl w:val="107E2CAA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60" w:hanging="180"/>
      </w:pPr>
      <w:rPr>
        <w:rFonts w:hint="default"/>
      </w:rPr>
    </w:lvl>
  </w:abstractNum>
  <w:abstractNum w:abstractNumId="7" w15:restartNumberingAfterBreak="0">
    <w:nsid w:val="51B318C4"/>
    <w:multiLevelType w:val="hybridMultilevel"/>
    <w:tmpl w:val="9626C0D6"/>
    <w:lvl w:ilvl="0" w:tplc="5478D4B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multiLevelType w:val="multilevel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2."/>
      <w:lvlJc w:val="left"/>
      <w:pPr>
        <w:ind w:left="1080" w:hanging="360"/>
      </w:pPr>
    </w:lvl>
    <w:lvl w:ilvl="3">
      <w:start w:val="1"/>
      <w:numFmt w:val="decimal"/>
      <w:lvlText w:val="%3."/>
      <w:lvlJc w:val="left"/>
      <w:pPr>
        <w:ind w:left="1440" w:hanging="360"/>
      </w:pPr>
    </w:lvl>
    <w:lvl w:ilvl="4">
      <w:start w:val="1"/>
      <w:numFmt w:val="decimal"/>
      <w:lvlText w:val="%4."/>
      <w:lvlJc w:val="left"/>
      <w:pPr>
        <w:ind w:left="1800" w:hanging="360"/>
      </w:pPr>
    </w:lvl>
    <w:lvl w:ilvl="5">
      <w:start w:val="1"/>
      <w:numFmt w:val="decimal"/>
      <w:lvlText w:val="%5."/>
      <w:lvlJc w:val="left"/>
      <w:pPr>
        <w:ind w:left="2160" w:hanging="360"/>
      </w:pPr>
    </w:lvl>
    <w:lvl w:ilvl="6">
      <w:start w:val="1"/>
      <w:numFmt w:val="decimal"/>
      <w:lvlText w:val="%6."/>
      <w:lvlJc w:val="left"/>
      <w:pPr>
        <w:ind w:left="2520" w:hanging="360"/>
      </w:pPr>
    </w:lvl>
    <w:lvl w:ilvl="7">
      <w:start w:val="1"/>
      <w:numFmt w:val="decimal"/>
      <w:lvlText w:val="%7."/>
      <w:lvlJc w:val="left"/>
      <w:pPr>
        <w:ind w:left="2880" w:hanging="360"/>
      </w:pPr>
    </w:lvl>
    <w:lvl w:ilvl="8">
      <w:start w:val="1"/>
      <w:numFmt w:val="decimal"/>
      <w:lvlText w:val="%8."/>
      <w:lvlJc w:val="left"/>
      <w:pPr>
        <w:ind w:left="3240" w:hanging="360"/>
      </w:pPr>
    </w:lvl>
  </w:abstractNum>
  <w:num w:numId="99">
    <w:abstractNumId w:val="99"/>
  </w:num>
  <w:num w:numId="1" w16cid:durableId="29190544">
    <w:abstractNumId w:val="1"/>
  </w:num>
  <w:num w:numId="2" w16cid:durableId="1776898736">
    <w:abstractNumId w:val="3"/>
  </w:num>
  <w:num w:numId="3" w16cid:durableId="223951550">
    <w:abstractNumId w:val="5"/>
  </w:num>
  <w:num w:numId="4" w16cid:durableId="601883165">
    <w:abstractNumId w:val="4"/>
  </w:num>
  <w:num w:numId="5" w16cid:durableId="1359818873">
    <w:abstractNumId w:val="4"/>
  </w:num>
  <w:num w:numId="6" w16cid:durableId="1412655412">
    <w:abstractNumId w:val="2"/>
  </w:num>
  <w:num w:numId="7" w16cid:durableId="1337150253">
    <w:abstractNumId w:val="7"/>
  </w:num>
  <w:num w:numId="8" w16cid:durableId="517735932">
    <w:abstractNumId w:val="6"/>
  </w:num>
  <w:num w:numId="9" w16cid:durableId="1561478080">
    <w:abstractNumId w:val="6"/>
  </w:num>
  <w:num w:numId="10" w16cid:durableId="1522283375">
    <w:abstractNumId w:val="6"/>
  </w:num>
  <w:num w:numId="11" w16cid:durableId="1390224425">
    <w:abstractNumId w:val="6"/>
  </w:num>
  <w:num w:numId="12" w16cid:durableId="735251472">
    <w:abstractNumId w:val="6"/>
  </w:num>
  <w:num w:numId="13" w16cid:durableId="1607151429">
    <w:abstractNumId w:val="6"/>
  </w:num>
  <w:num w:numId="14" w16cid:durableId="313267473">
    <w:abstractNumId w:val="6"/>
  </w:num>
  <w:num w:numId="15" w16cid:durableId="987250528">
    <w:abstractNumId w:val="6"/>
  </w:num>
  <w:num w:numId="16" w16cid:durableId="1877428370">
    <w:abstractNumId w:val="6"/>
  </w:num>
  <w:num w:numId="17" w16cid:durableId="2114011313">
    <w:abstractNumId w:val="6"/>
  </w:num>
  <w:num w:numId="18" w16cid:durableId="741292873">
    <w:abstractNumId w:val="6"/>
  </w:num>
  <w:num w:numId="19" w16cid:durableId="1003625394">
    <w:abstractNumId w:val="6"/>
  </w:num>
  <w:num w:numId="20" w16cid:durableId="1253665502">
    <w:abstractNumId w:val="6"/>
  </w:num>
  <w:num w:numId="21" w16cid:durableId="263458491">
    <w:abstractNumId w:val="6"/>
  </w:num>
  <w:num w:numId="22" w16cid:durableId="820972004">
    <w:abstractNumId w:val="6"/>
  </w:num>
  <w:num w:numId="23" w16cid:durableId="408842926">
    <w:abstractNumId w:val="6"/>
  </w:num>
  <w:num w:numId="24" w16cid:durableId="815298001">
    <w:abstractNumId w:val="6"/>
  </w:num>
  <w:num w:numId="25" w16cid:durableId="1727991713">
    <w:abstractNumId w:val="6"/>
  </w:num>
  <w:num w:numId="26" w16cid:durableId="79837280">
    <w:abstractNumId w:val="6"/>
  </w:num>
  <w:num w:numId="27" w16cid:durableId="2106224668">
    <w:abstractNumId w:val="6"/>
  </w:num>
  <w:num w:numId="28" w16cid:durableId="440950650">
    <w:abstractNumId w:val="6"/>
  </w:num>
  <w:num w:numId="29" w16cid:durableId="1591768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29"/>
    <w:rsid w:val="000966F6"/>
    <w:rsid w:val="000A076C"/>
    <w:rsid w:val="000A7D64"/>
    <w:rsid w:val="000B6AC5"/>
    <w:rsid w:val="001603D1"/>
    <w:rsid w:val="00163097"/>
    <w:rsid w:val="00276589"/>
    <w:rsid w:val="00344941"/>
    <w:rsid w:val="00494E42"/>
    <w:rsid w:val="004A52D3"/>
    <w:rsid w:val="00564C09"/>
    <w:rsid w:val="00590106"/>
    <w:rsid w:val="00733D29"/>
    <w:rsid w:val="007427BD"/>
    <w:rsid w:val="007A766F"/>
    <w:rsid w:val="008573AA"/>
    <w:rsid w:val="008637DC"/>
    <w:rsid w:val="00882B76"/>
    <w:rsid w:val="008C226A"/>
    <w:rsid w:val="0091469A"/>
    <w:rsid w:val="00926216"/>
    <w:rsid w:val="0093360C"/>
    <w:rsid w:val="009C71DE"/>
    <w:rsid w:val="00A03DA8"/>
    <w:rsid w:val="00A64CE1"/>
    <w:rsid w:val="00AD7E6A"/>
    <w:rsid w:val="00BB5D8B"/>
    <w:rsid w:val="00CA5FD0"/>
    <w:rsid w:val="00D0530C"/>
    <w:rsid w:val="00D92019"/>
    <w:rsid w:val="00DF70EF"/>
    <w:rsid w:val="00F1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8DADA"/>
  <w15:docId w15:val="{67C0786F-EA94-C04C-8D15-F53F972D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494E42"/>
    <w:pPr>
      <w:snapToGrid w:val="0"/>
      <w:spacing w:after="180" w:line="276" w:lineRule="auto"/>
      <w:jc w:val="both"/>
    </w:pPr>
    <w:rPr>
      <w:rFonts w:ascii="Cambria" w:hAnsi="Cambria"/>
      <w:spacing w:val="-14"/>
      <w:sz w:val="28"/>
      <w:szCs w:val="28"/>
    </w:rPr>
  </w:style>
  <w:style w:type="paragraph" w:styleId="Heading1">
    <w:name w:val="heading 1"/>
    <w:basedOn w:val="Heading2"/>
    <w:uiPriority w:val="1"/>
    <w:qFormat/>
    <w:rsid w:val="00494E42"/>
    <w:pPr>
      <w:numPr>
        <w:ilvl w:val="0"/>
        <w:numId w:val="0"/>
      </w:numPr>
      <w:outlineLvl w:val="0"/>
    </w:pPr>
    <w:rPr>
      <w:sz w:val="48"/>
      <w:szCs w:val="48"/>
    </w:rPr>
  </w:style>
  <w:style w:type="paragraph" w:styleId="Heading2">
    <w:name w:val="heading 2"/>
    <w:basedOn w:val="Heading3"/>
    <w:uiPriority w:val="2"/>
    <w:qFormat/>
    <w:rsid w:val="00494E42"/>
    <w:pPr>
      <w:outlineLvl w:val="1"/>
    </w:pPr>
    <w:rPr>
      <w:b w:val="0"/>
      <w:bCs w:val="0"/>
      <w:sz w:val="40"/>
      <w:szCs w:val="40"/>
    </w:rPr>
  </w:style>
  <w:style w:type="paragraph" w:styleId="Heading3">
    <w:name w:val="heading 3"/>
    <w:basedOn w:val="Normal"/>
    <w:uiPriority w:val="3"/>
    <w:qFormat/>
    <w:rsid w:val="00494E42"/>
    <w:pPr>
      <w:spacing w:line="240" w:lineRule="auto"/>
      <w:jc w:val="center"/>
      <w:outlineLvl w:val="2"/>
    </w:pPr>
    <w:rPr>
      <w:rFonts w:ascii="HELVETICA NEUE CONDENSED" w:hAnsi="HELVETICA NEUE CONDENSED"/>
      <w:b/>
      <w:bCs/>
      <w:caps/>
      <w:color w:val="000000" w:themeColor="text1"/>
      <w:sz w:val="32"/>
      <w:szCs w:val="32"/>
    </w:rPr>
  </w:style>
  <w:style w:type="paragraph" w:styleId="Heading4">
    <w:name w:val="heading 4"/>
    <w:basedOn w:val="Heading3"/>
    <w:uiPriority w:val="4"/>
    <w:qFormat/>
    <w:rsid w:val="00494E42"/>
    <w:pPr>
      <w:jc w:val="left"/>
      <w:outlineLvl w:val="3"/>
    </w:pPr>
  </w:style>
  <w:style w:type="paragraph" w:styleId="Heading5">
    <w:name w:val="heading 5"/>
    <w:basedOn w:val="Normal"/>
    <w:next w:val="Normal"/>
    <w:link w:val="Heading5Char"/>
    <w:uiPriority w:val="99"/>
    <w:unhideWhenUsed/>
    <w:rsid w:val="00BB5D8B"/>
    <w:pPr>
      <w:numPr>
        <w:ilvl w:val="0"/>
        <w:numId w:val="99"/>
      </w:numPr>
      <w:spacing w:before="360" w:after="120"/>
      <w:contextualSpacing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unhideWhenUsed/>
    <w:rsid w:val="00926216"/>
    <w:pPr>
      <w:numPr>
        <w:ilvl w:val="1"/>
        <w:numId w:val="99"/>
      </w:numPr>
      <w:contextualSpacing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Gap">
    <w:name w:val="No Gap"/>
    <w:basedOn w:val="Normal"/>
    <w:uiPriority w:val="13"/>
    <w:qFormat/>
    <w:rsid w:val="00494E42"/>
    <w:pPr>
      <w:spacing w:after="0" w:line="240" w:lineRule="auto"/>
    </w:p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ED3635"/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styleId="TableGrid">
    <w:name w:val="Table Grid"/>
    <w:basedOn w:val="TableNormal"/>
    <w:uiPriority w:val="39"/>
    <w:rsid w:val="00B315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qFormat/>
    <w:rsid w:val="00361621"/>
  </w:style>
  <w:style w:type="numbering" w:customStyle="1" w:styleId="CurrentList2">
    <w:name w:val="Current List2"/>
    <w:uiPriority w:val="99"/>
    <w:qFormat/>
    <w:rsid w:val="00361621"/>
  </w:style>
  <w:style w:type="character" w:customStyle="1" w:styleId="Heading5Char">
    <w:name w:val="Heading 5 Char"/>
    <w:basedOn w:val="DefaultParagraphFont"/>
    <w:link w:val="Heading5"/>
    <w:uiPriority w:val="99"/>
    <w:rsid w:val="00344941"/>
    <w:rPr>
      <w:rFonts w:ascii="Cambria" w:hAnsi="Cambria"/>
      <w:b/>
      <w:bCs/>
      <w:spacing w:val="-14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9"/>
    <w:rsid w:val="00BB5D8B"/>
    <w:rPr>
      <w:rFonts w:ascii="Cambria" w:hAnsi="Cambria"/>
      <w:spacing w:val="-1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oopmadhavan/Downloads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55</TotalTime>
  <Pages>5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Madhavan</dc:creator>
  <dc:description/>
  <cp:lastModifiedBy>Anoop Madhavan</cp:lastModifiedBy>
  <cp:revision>2</cp:revision>
  <dcterms:created xsi:type="dcterms:W3CDTF">2026-07-24T11:36:00Z</dcterms:created>
  <dcterms:modified xsi:type="dcterms:W3CDTF">2026-07-24T13:04:00Z</dcterms:modified>
  <dc:language>en-US</dc:language>
</cp:coreProperties>
</file>