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246C3" w14:textId="77777777" w:rsidR="00580E82" w:rsidRPr="00CF43E3" w:rsidRDefault="00000000" w:rsidP="00286BC0">
      <w:pPr>
        <w:pStyle w:val="Heading2"/>
      </w:pPr>
      <w:r>
        <w:t>BEFORE THE HONOURABLE MUNSIFF COURT, HARIPAD</w:t>
      </w:r>
    </w:p>
    <w:p w14:paraId="6101B3C7" w14:textId="0B206202" w:rsidR="00580E82" w:rsidRDefault="00000000" w:rsidP="00286BC0">
      <w:pPr>
        <w:pStyle w:val="Heading3"/>
      </w:pPr>
      <w:r>
        <w:t>O.S. No. 214 of 2025 I.A. 5/2026 &amp; I.A. 6/2026</w:t>
      </w:r>
    </w:p>
    <w:p w14:paraId="1FEEE930" w14:textId="77777777" w:rsidR="00CF43E3" w:rsidRDefault="00CF43E3" w:rsidP="00286BC0">
      <w:pPr>
        <w:pStyle w:val="Heading3"/>
      </w:pPr>
    </w:p>
    <w:tbl>
      <w:tblPr>
        <w:tblStyle w:val="TableGrid"/>
        <w:tblW w:w="8730"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60"/>
        <w:gridCol w:w="1530"/>
        <w:gridCol w:w="2340"/>
      </w:tblGrid>
      <w:tr w:rsidR="00C1791A" w:rsidRPr="00650ECB" w14:paraId="0EAB198E" w14:textId="77777777" w:rsidTr="00C1791A">
        <w:tc>
          <w:tcPr>
            <w:tcW w:w="4860" w:type="dxa"/>
          </w:tcPr>
          <w:p w14:paraId="19B4F846" w14:textId="3D6F92B9" w:rsidR="00C1791A" w:rsidRPr="00650ECB" w:rsidRDefault="00C1791A" w:rsidP="00286BC0">
            <w:pPr>
              <w:pStyle w:val="Table"/>
            </w:pPr>
            <w:r>
              <w:t>Anoop R. Madhavan, represented by Power of Attorney Holder A.G. Kishore</w:t>
            </w:r>
          </w:p>
        </w:tc>
        <w:tc>
          <w:tcPr>
            <w:tcW w:w="1530" w:type="dxa"/>
          </w:tcPr>
          <w:p w14:paraId="4EA5496E" w14:textId="77777777" w:rsidR="00C1791A" w:rsidRPr="00650ECB" w:rsidRDefault="00C1791A" w:rsidP="00286BC0">
            <w:pPr>
              <w:pStyle w:val="Table"/>
            </w:pPr>
          </w:p>
        </w:tc>
        <w:tc>
          <w:tcPr>
            <w:tcW w:w="2340" w:type="dxa"/>
          </w:tcPr>
          <w:p w14:paraId="35FEDD0C" w14:textId="77777777" w:rsidR="00C1791A" w:rsidRPr="00CA246A" w:rsidRDefault="00C1791A" w:rsidP="00286BC0">
            <w:pPr>
              <w:pStyle w:val="Table"/>
            </w:pPr>
            <w:r>
              <w:rPr>
                <w:rStyle w:val="Strong"/>
              </w:rPr>
              <w:t xml:space="preserve">… PLAINTIFF </w:t>
            </w:r>
          </w:p>
          <w:p w14:paraId="0D72F845" w14:textId="77777777" w:rsidR="00C1791A" w:rsidRPr="00CA246A" w:rsidRDefault="00C1791A" w:rsidP="00286BC0">
            <w:pPr>
              <w:pStyle w:val="Table"/>
            </w:pPr>
          </w:p>
        </w:tc>
      </w:tr>
      <w:tr w:rsidR="00C1791A" w:rsidRPr="00650ECB" w14:paraId="786C7AE5" w14:textId="77777777" w:rsidTr="00C1791A">
        <w:tc>
          <w:tcPr>
            <w:tcW w:w="4860" w:type="dxa"/>
          </w:tcPr>
          <w:p w14:paraId="55000FB0" w14:textId="77777777" w:rsidR="00C1791A" w:rsidRPr="00650ECB" w:rsidRDefault="00C1791A" w:rsidP="00286BC0">
            <w:pPr>
              <w:pStyle w:val="Table"/>
            </w:pPr>
          </w:p>
        </w:tc>
        <w:tc>
          <w:tcPr>
            <w:tcW w:w="1530" w:type="dxa"/>
          </w:tcPr>
          <w:p w14:paraId="7E66A821" w14:textId="0187ADAE" w:rsidR="00C1791A" w:rsidRPr="00650ECB" w:rsidRDefault="00D00E0C" w:rsidP="00286BC0">
            <w:pPr>
              <w:pStyle w:val="Table"/>
              <w:rPr>
                <w:rStyle w:val="Strong"/>
                <w:i/>
                <w:iCs/>
              </w:rPr>
            </w:pPr>
            <w:r>
              <w:rPr>
                <w:rStyle w:val="Strong"/>
                <w:i/>
                <w:iCs/>
              </w:rPr>
              <w:t>VERSUS</w:t>
            </w:r>
          </w:p>
        </w:tc>
        <w:tc>
          <w:tcPr>
            <w:tcW w:w="2340" w:type="dxa"/>
          </w:tcPr>
          <w:p w14:paraId="434CE7FC" w14:textId="77777777" w:rsidR="00C1791A" w:rsidRPr="00CA246A" w:rsidRDefault="00C1791A" w:rsidP="00286BC0">
            <w:pPr>
              <w:pStyle w:val="Table"/>
              <w:rPr>
                <w:rStyle w:val="Strong"/>
              </w:rPr>
            </w:pPr>
          </w:p>
        </w:tc>
      </w:tr>
      <w:tr w:rsidR="00C1791A" w:rsidRPr="00650ECB" w14:paraId="5560FE63" w14:textId="77777777" w:rsidTr="00C1791A">
        <w:tc>
          <w:tcPr>
            <w:tcW w:w="4860" w:type="dxa"/>
          </w:tcPr>
          <w:p w14:paraId="74B3A6EA" w14:textId="77777777" w:rsidR="00C1791A" w:rsidRPr="00650ECB" w:rsidRDefault="00C1791A" w:rsidP="00286BC0">
            <w:pPr>
              <w:pStyle w:val="Table"/>
            </w:pPr>
            <w:r>
              <w:t xml:space="preserve">Alummoottil </w:t>
            </w:r>
            <w:proofErr w:type="spellStart"/>
            <w:r>
              <w:t>Tharavad</w:t>
            </w:r>
            <w:proofErr w:type="spellEnd"/>
            <w:r>
              <w:t xml:space="preserve"> Trust &amp; Others</w:t>
            </w:r>
          </w:p>
          <w:p w14:paraId="2B174549" w14:textId="77777777" w:rsidR="00C1791A" w:rsidRPr="00650ECB" w:rsidRDefault="00C1791A" w:rsidP="00286BC0">
            <w:pPr>
              <w:pStyle w:val="Table"/>
            </w:pPr>
          </w:p>
        </w:tc>
        <w:tc>
          <w:tcPr>
            <w:tcW w:w="1530" w:type="dxa"/>
          </w:tcPr>
          <w:p w14:paraId="36C9D91D" w14:textId="77777777" w:rsidR="00C1791A" w:rsidRPr="00650ECB" w:rsidRDefault="00C1791A" w:rsidP="00286BC0">
            <w:pPr>
              <w:pStyle w:val="Table"/>
            </w:pPr>
          </w:p>
        </w:tc>
        <w:tc>
          <w:tcPr>
            <w:tcW w:w="2340" w:type="dxa"/>
          </w:tcPr>
          <w:p w14:paraId="789AEDF8" w14:textId="77777777" w:rsidR="00C1791A" w:rsidRPr="00CA246A" w:rsidRDefault="00C1791A" w:rsidP="00286BC0">
            <w:pPr>
              <w:pStyle w:val="Table"/>
            </w:pPr>
            <w:r>
              <w:rPr>
                <w:rStyle w:val="Strong"/>
              </w:rPr>
              <w:t>… DEFENDANTS</w:t>
            </w:r>
          </w:p>
          <w:p w14:paraId="6AA84B63" w14:textId="77777777" w:rsidR="00C1791A" w:rsidRPr="00CA246A" w:rsidRDefault="00C1791A" w:rsidP="00286BC0">
            <w:pPr>
              <w:pStyle w:val="Table"/>
              <w:rPr>
                <w:rStyle w:val="Strong"/>
              </w:rPr>
            </w:pPr>
          </w:p>
        </w:tc>
      </w:tr>
    </w:tbl>
    <w:p w14:paraId="195ACCC3" w14:textId="77777777" w:rsidR="00580E82" w:rsidRDefault="00000000" w:rsidP="00286BC0">
      <w:pPr>
        <w:pStyle w:val="Heading2"/>
      </w:pPr>
      <w:r>
        <w:t>MEMORANDUM FOR URGENT LISTING AND DISPOSAL</w:t>
      </w:r>
    </w:p>
    <w:p w14:paraId="4B6E04CB" w14:textId="788FCF45" w:rsidR="00580E82" w:rsidRPr="00286BC0" w:rsidRDefault="00000000" w:rsidP="00286BC0">
      <w:r>
        <w:t>The Plaintiff requests urgent listing and disposal of I.A. 5/2026 and I.A. 6/2026:</w:t>
      </w:r>
    </w:p>
    <w:p w14:paraId="56BAC32D" w14:textId="3876B37B" w:rsidR="00580E82" w:rsidRDefault="00000000" w:rsidP="00286BC0">
      <w:pPr>
        <w:pStyle w:val="Heading3"/>
      </w:pPr>
      <w:r>
        <w:t>FACTS</w:t>
      </w:r>
    </w:p>
    <w:p w14:paraId="6824F0D1" w14:textId="1109CF36" w:rsidR="006F0B25" w:rsidRDefault="006F0B25" w:rsidP="00286BC0">
      <w:pPr>
        <w:pStyle w:val="ListNumber"/>
      </w:pPr>
      <w:r>
        <w:t xml:space="preserve">The Plaintiff respectfully brings to this Court’s notice six (6) documented occasions of fraud, suppression, and concealment by the 2nd Defendant in this Court. </w:t>
      </w:r>
      <w:proofErr w:type="spellStart"/>
      <w:r>
        <w:rPr>
          <w:i/>
          <w:iCs/>
        </w:rPr>
        <w:t>Chengalvaraya</w:t>
      </w:r>
      <w:proofErr w:type="spellEnd"/>
      <w:r>
        <w:rPr>
          <w:i/>
          <w:iCs/>
        </w:rPr>
        <w:t xml:space="preserve"> Naidu</w:t>
      </w:r>
      <w:r>
        <w:t xml:space="preserve">, </w:t>
      </w:r>
      <w:proofErr w:type="spellStart"/>
      <w:r>
        <w:rPr>
          <w:i/>
          <w:iCs/>
        </w:rPr>
        <w:t>Papayya</w:t>
      </w:r>
      <w:proofErr w:type="spellEnd"/>
      <w:r>
        <w:rPr>
          <w:i/>
          <w:iCs/>
        </w:rPr>
        <w:t xml:space="preserve"> Sastry</w:t>
      </w:r>
      <w:r>
        <w:t xml:space="preserve">, </w:t>
      </w:r>
      <w:r>
        <w:rPr>
          <w:i/>
          <w:iCs/>
        </w:rPr>
        <w:t>Murray &amp; Co.</w:t>
      </w:r>
      <w:r>
        <w:t xml:space="preserve"> and </w:t>
      </w:r>
      <w:r>
        <w:rPr>
          <w:i/>
          <w:iCs/>
        </w:rPr>
        <w:t>Karuppan</w:t>
      </w:r>
      <w:r>
        <w:t xml:space="preserve"> apply with full force: fraud vitiates all. The 2nd Defendant, Ramesh Chandran, the Managing Trustee </w:t>
      </w:r>
      <w:r w:rsidR="00F728F3">
        <w:t>(hereinafter D2)</w:t>
      </w:r>
      <w:r w:rsidR="00F728F3">
        <w:t xml:space="preserve"> </w:t>
      </w:r>
      <w:r>
        <w:t>of the 1st Defendant Trust</w:t>
      </w:r>
      <w:r w:rsidR="00F728F3">
        <w:t>,</w:t>
      </w:r>
      <w:r>
        <w:t xml:space="preserve"> defrauds not outside this Court, but through its very process.</w:t>
      </w:r>
    </w:p>
    <w:p w14:paraId="55DE709C" w14:textId="59A07AFB" w:rsidR="00580E82" w:rsidRDefault="00000000" w:rsidP="00286BC0">
      <w:pPr>
        <w:pStyle w:val="ListNumber"/>
      </w:pPr>
      <w:r>
        <w:t xml:space="preserve">Alummoottil </w:t>
      </w:r>
      <w:proofErr w:type="spellStart"/>
      <w:r>
        <w:t>Tharavad</w:t>
      </w:r>
      <w:proofErr w:type="spellEnd"/>
      <w:r>
        <w:t xml:space="preserve"> carries four hundred (400) years of history (</w:t>
      </w:r>
      <w:r w:rsidRPr="00F728F3">
        <w:rPr>
          <w:b/>
          <w:bCs/>
          <w:u w:val="single"/>
        </w:rPr>
        <w:t>Exhibit P1</w:t>
      </w:r>
      <w:r>
        <w:t xml:space="preserve">). The 1st Defendant Trust was constituted for </w:t>
      </w:r>
      <w:r>
        <w:rPr>
          <w:i/>
          <w:iCs/>
        </w:rPr>
        <w:t>“preserving heritage of the family”</w:t>
      </w:r>
      <w:r>
        <w:t xml:space="preserve"> (Deed No. 2/IV/2007, recital, pp. 1-2).</w:t>
      </w:r>
    </w:p>
    <w:p w14:paraId="5192F3A7" w14:textId="08775933" w:rsidR="00580E82" w:rsidRDefault="00000000" w:rsidP="00286BC0">
      <w:pPr>
        <w:pStyle w:val="ListNumber"/>
      </w:pPr>
      <w:r>
        <w:t xml:space="preserve">The Trust Deed was created </w:t>
      </w:r>
      <w:r>
        <w:rPr>
          <w:i/>
          <w:iCs/>
        </w:rPr>
        <w:t xml:space="preserve">“for the benefit of the members of the </w:t>
      </w:r>
      <w:proofErr w:type="spellStart"/>
      <w:r>
        <w:rPr>
          <w:i/>
          <w:iCs/>
        </w:rPr>
        <w:t>Alumoottil</w:t>
      </w:r>
      <w:proofErr w:type="spellEnd"/>
      <w:r>
        <w:rPr>
          <w:i/>
          <w:iCs/>
        </w:rPr>
        <w:t xml:space="preserve"> family who are the </w:t>
      </w:r>
      <w:proofErr w:type="spellStart"/>
      <w:r>
        <w:rPr>
          <w:i/>
          <w:iCs/>
        </w:rPr>
        <w:t>descendents</w:t>
      </w:r>
      <w:proofErr w:type="spellEnd"/>
      <w:r>
        <w:rPr>
          <w:i/>
          <w:iCs/>
        </w:rPr>
        <w:t xml:space="preserve"> of </w:t>
      </w:r>
      <w:proofErr w:type="spellStart"/>
      <w:r>
        <w:rPr>
          <w:i/>
          <w:iCs/>
        </w:rPr>
        <w:t>Alumoottil</w:t>
      </w:r>
      <w:proofErr w:type="spellEnd"/>
      <w:r>
        <w:rPr>
          <w:i/>
          <w:iCs/>
        </w:rPr>
        <w:t xml:space="preserve"> Chellamma </w:t>
      </w:r>
      <w:proofErr w:type="spellStart"/>
      <w:r>
        <w:rPr>
          <w:i/>
          <w:iCs/>
        </w:rPr>
        <w:t>Channathy</w:t>
      </w:r>
      <w:proofErr w:type="spellEnd"/>
      <w:r>
        <w:rPr>
          <w:i/>
          <w:iCs/>
        </w:rPr>
        <w:t>”</w:t>
      </w:r>
      <w:r>
        <w:t xml:space="preserve"> (Deed No. 2/IV/2007, p. 3). The Plaintiff, her grandson, was raised in the Trust premises.</w:t>
      </w:r>
    </w:p>
    <w:p w14:paraId="6D9CDB63" w14:textId="07113B9A" w:rsidR="00580E82" w:rsidRDefault="00000000" w:rsidP="00286BC0">
      <w:pPr>
        <w:pStyle w:val="ListNumber"/>
      </w:pPr>
      <w:r>
        <w:t xml:space="preserve">On 24.01.2026, the five Trustees resolved that the Plaintiff be </w:t>
      </w:r>
      <w:r>
        <w:rPr>
          <w:i/>
          <w:iCs/>
        </w:rPr>
        <w:t>“terminated from the beneficiary status through legal means”</w:t>
      </w:r>
      <w:r>
        <w:t xml:space="preserve"> (Minutes Book p. 20, item 6) — admitting his status and committing a textbook breach of trust under </w:t>
      </w:r>
      <w:r>
        <w:rPr>
          <w:i/>
          <w:iCs/>
        </w:rPr>
        <w:t>Section 14 of the Indian Trusts Act, 1882</w:t>
      </w:r>
      <w:r>
        <w:t xml:space="preserve">. Since </w:t>
      </w:r>
      <w:proofErr w:type="gramStart"/>
      <w:r>
        <w:t>then</w:t>
      </w:r>
      <w:proofErr w:type="gramEnd"/>
      <w:r>
        <w:t xml:space="preserve"> D2 has thrice sworn the </w:t>
      </w:r>
      <w:r>
        <w:rPr>
          <w:i/>
          <w:iCs/>
        </w:rPr>
        <w:t>“plaintiff is not a beneficiary”</w:t>
      </w:r>
      <w:r>
        <w:t>, each a separate ground for adverse inference.</w:t>
      </w:r>
    </w:p>
    <w:p w14:paraId="58271BAA" w14:textId="7244DBE3" w:rsidR="00580E82" w:rsidRDefault="00000000" w:rsidP="00286BC0">
      <w:pPr>
        <w:pStyle w:val="ListNumber"/>
      </w:pPr>
      <w:r>
        <w:rPr>
          <w:i/>
          <w:iCs/>
        </w:rPr>
        <w:t>Pendente lite</w:t>
      </w:r>
      <w:r>
        <w:t xml:space="preserve">, D2 surrendered family heritage to one </w:t>
      </w:r>
      <w:proofErr w:type="spellStart"/>
      <w:r>
        <w:t>Sreemoolavasam</w:t>
      </w:r>
      <w:proofErr w:type="spellEnd"/>
      <w:r>
        <w:t xml:space="preserve"> — a private outfit GST-registered on Trust property on 09.12.2025 (</w:t>
      </w:r>
      <w:r w:rsidRPr="00F728F3">
        <w:rPr>
          <w:b/>
          <w:bCs/>
          <w:u w:val="single"/>
        </w:rPr>
        <w:t>Exhibit P9</w:t>
      </w:r>
      <w:r>
        <w:t xml:space="preserve">). A lease during suit is </w:t>
      </w:r>
      <w:proofErr w:type="spellStart"/>
      <w:r>
        <w:rPr>
          <w:i/>
          <w:iCs/>
        </w:rPr>
        <w:t>lis</w:t>
      </w:r>
      <w:proofErr w:type="spellEnd"/>
      <w:r>
        <w:rPr>
          <w:i/>
          <w:iCs/>
        </w:rPr>
        <w:t xml:space="preserve"> pendens</w:t>
      </w:r>
      <w:r>
        <w:t xml:space="preserve"> under </w:t>
      </w:r>
      <w:r>
        <w:rPr>
          <w:i/>
          <w:iCs/>
        </w:rPr>
        <w:t>Section 52 of the Transfer of Property Act, 1882</w:t>
      </w:r>
      <w:r>
        <w:t xml:space="preserve">. Tellingly, it was </w:t>
      </w:r>
      <w:r>
        <w:rPr>
          <w:i/>
          <w:iCs/>
        </w:rPr>
        <w:t>“registered”</w:t>
      </w:r>
      <w:r>
        <w:t xml:space="preserve"> three (3) months before its </w:t>
      </w:r>
      <w:r>
        <w:rPr>
          <w:i/>
          <w:iCs/>
        </w:rPr>
        <w:t>“ratification”</w:t>
      </w:r>
      <w:r>
        <w:t xml:space="preserve"> on 24.01.2026 — a </w:t>
      </w:r>
      <w:r>
        <w:rPr>
          <w:i/>
          <w:iCs/>
        </w:rPr>
        <w:t>post-facto</w:t>
      </w:r>
      <w:r>
        <w:t xml:space="preserve"> cover only D2 can explain (Minutes Book p. 17, item 1; Lease 3237/2025 p. 1).</w:t>
      </w:r>
    </w:p>
    <w:p w14:paraId="22B84C38" w14:textId="602E95A9" w:rsidR="00454D08" w:rsidRPr="00454D08" w:rsidRDefault="00454D08" w:rsidP="00454D08">
      <w:pPr>
        <w:pStyle w:val="ListNumber"/>
      </w:pPr>
      <w:r>
        <w:t xml:space="preserve">The 24.01.2026 minutes sanctioned 10 years only for the Meda (Minutes </w:t>
      </w:r>
      <w:r>
        <w:lastRenderedPageBreak/>
        <w:t xml:space="preserve">Book p. 16, item 1(a)); the </w:t>
      </w:r>
      <w:r>
        <w:rPr>
          <w:i/>
          <w:iCs/>
        </w:rPr>
        <w:t>“landed properties”</w:t>
      </w:r>
      <w:r>
        <w:t xml:space="preserve"> got only an </w:t>
      </w:r>
      <w:r>
        <w:rPr>
          <w:i/>
          <w:iCs/>
        </w:rPr>
        <w:t>“11 months agreement”</w:t>
      </w:r>
      <w:r>
        <w:t xml:space="preserve"> (p. 17, item 1(e)). Yet 3 months earlier, on 27.10.2025, D2 registered a 10-year instrument over the Meda with </w:t>
      </w:r>
      <w:r>
        <w:rPr>
          <w:i/>
          <w:iCs/>
        </w:rPr>
        <w:t>“all easements and all other rights appurtenant”</w:t>
      </w:r>
      <w:r>
        <w:t xml:space="preserve"> across 29.42 of the Trust’s 38.06 Ares — land the O.S. 243/2024 schedule says carries the </w:t>
      </w:r>
      <w:proofErr w:type="spellStart"/>
      <w:r>
        <w:t>Nalukettu</w:t>
      </w:r>
      <w:proofErr w:type="spellEnd"/>
      <w:r>
        <w:t xml:space="preserve"> (Lease 3237/2025, Schedule; cl. 2). No authority preceded for D2; partial authority was manufactured after.</w:t>
      </w:r>
    </w:p>
    <w:p w14:paraId="1F1AD2AE" w14:textId="33D55819" w:rsidR="00F728F3" w:rsidRPr="00F728F3" w:rsidRDefault="004C70E3" w:rsidP="00F728F3">
      <w:pPr>
        <w:pStyle w:val="ListNumber"/>
      </w:pPr>
      <w:r w:rsidRPr="00F728F3">
        <w:t>D2 has enabled this concealed outfit to publish Facebook videos claiming “450 years of history” as its own (</w:t>
      </w:r>
      <w:r w:rsidRPr="00F728F3">
        <w:rPr>
          <w:b/>
          <w:bCs/>
          <w:u w:val="single"/>
        </w:rPr>
        <w:t>Exhibits P2-P5</w:t>
      </w:r>
      <w:r w:rsidRPr="00F728F3">
        <w:t xml:space="preserve">). Its website goes further, calling itself a “450-year-old </w:t>
      </w:r>
      <w:proofErr w:type="spellStart"/>
      <w:r w:rsidRPr="00F728F3">
        <w:t>Tharavad</w:t>
      </w:r>
      <w:proofErr w:type="spellEnd"/>
      <w:r w:rsidRPr="00F728F3">
        <w:t>” without a single mention of Alummoottil (</w:t>
      </w:r>
      <w:r w:rsidRPr="00F728F3">
        <w:rPr>
          <w:b/>
          <w:bCs/>
          <w:u w:val="single"/>
        </w:rPr>
        <w:t>Exhibits P10-P12</w:t>
      </w:r>
      <w:r w:rsidRPr="00F728F3">
        <w:t xml:space="preserve">). The Meda is 120 years old (Exhibit P1); the </w:t>
      </w:r>
      <w:proofErr w:type="spellStart"/>
      <w:r w:rsidRPr="00F728F3">
        <w:t>Nalukettu</w:t>
      </w:r>
      <w:proofErr w:type="spellEnd"/>
      <w:r w:rsidRPr="00F728F3">
        <w:t xml:space="preserve"> is 400 years old. Selling itself as “450 years” is 400 years of misappropriation plus 50 years of fraudulent inflation. Visiting social-media celebrities call the Trust property their “friend Vishnu’s,” deleting four centuries of </w:t>
      </w:r>
      <w:proofErr w:type="spellStart"/>
      <w:r w:rsidRPr="00F728F3">
        <w:t>Tharavad</w:t>
      </w:r>
      <w:proofErr w:type="spellEnd"/>
      <w:r w:rsidRPr="00F728F3">
        <w:t xml:space="preserve"> history in one breath (</w:t>
      </w:r>
      <w:r w:rsidRPr="00F728F3">
        <w:rPr>
          <w:b/>
          <w:bCs/>
          <w:u w:val="single"/>
        </w:rPr>
        <w:t>Exhibits P6-P8</w:t>
      </w:r>
      <w:r w:rsidRPr="00F728F3">
        <w:t xml:space="preserve">). D2 has enabled the pendente lite lessee to misappropriate Alummoottil’s heritage and identity, in broad daylight. </w:t>
      </w:r>
      <w:r w:rsidR="00F728F3" w:rsidRPr="00F728F3">
        <w:t>D2’</w:t>
      </w:r>
      <w:r w:rsidR="00F728F3" w:rsidRPr="00F728F3">
        <w:t>s</w:t>
      </w:r>
      <w:r w:rsidR="00F728F3" w:rsidRPr="00F728F3">
        <w:t xml:space="preserve"> act</w:t>
      </w:r>
      <w:r w:rsidR="00F728F3" w:rsidRPr="00F728F3">
        <w:t xml:space="preserve"> is not a mere irregularity; it is a betrayal of the very purpose for which the Trust was created</w:t>
      </w:r>
      <w:r w:rsidR="00F728F3" w:rsidRPr="00F728F3">
        <w:t xml:space="preserve"> (</w:t>
      </w:r>
      <w:r w:rsidR="00F728F3" w:rsidRPr="00F728F3">
        <w:t>Deed No. 2/IV/2007, recital, pp. 1-2)</w:t>
      </w:r>
    </w:p>
    <w:p w14:paraId="63A8F1E1" w14:textId="53B0786C" w:rsidR="00580E82" w:rsidRDefault="00000000" w:rsidP="00286BC0">
      <w:pPr>
        <w:pStyle w:val="ListNumber"/>
      </w:pPr>
      <w:r>
        <w:t xml:space="preserve">On 16.02.2026, D2 swore nothing material was concealed. The </w:t>
      </w:r>
      <w:r>
        <w:rPr>
          <w:i/>
          <w:iCs/>
        </w:rPr>
        <w:t>pendente lite</w:t>
      </w:r>
      <w:r>
        <w:t xml:space="preserve"> lease and lessee surfaced by </w:t>
      </w:r>
      <w:r>
        <w:rPr>
          <w:i/>
          <w:iCs/>
        </w:rPr>
        <w:t>exposure</w:t>
      </w:r>
      <w:r>
        <w:t xml:space="preserve">, not disclosure: </w:t>
      </w:r>
      <w:r w:rsidR="00F728F3" w:rsidRPr="00F728F3">
        <w:t>Plaintiff uncovered the hidden commercial arrangement and exposed it before this Court.</w:t>
      </w:r>
    </w:p>
    <w:p w14:paraId="32222C05" w14:textId="4F7B78F7" w:rsidR="00580E82" w:rsidRDefault="000D3DC6" w:rsidP="00286BC0">
      <w:pPr>
        <w:pStyle w:val="ListNumber"/>
      </w:pPr>
      <w:r>
        <w:t xml:space="preserve">Caught red-handed, D2 was forced to produce the lease on 18.05.2026. But he immediately started blowing hot and cold: D2 wants the concealed outfit now as a </w:t>
      </w:r>
      <w:r>
        <w:rPr>
          <w:i/>
          <w:iCs/>
        </w:rPr>
        <w:t>“necessary party”</w:t>
      </w:r>
      <w:r>
        <w:t xml:space="preserve"> to this suit. The </w:t>
      </w:r>
      <w:r>
        <w:rPr>
          <w:i/>
          <w:iCs/>
        </w:rPr>
        <w:t>pendente lite</w:t>
      </w:r>
      <w:r>
        <w:t xml:space="preserve"> lessee’s loss cannot encumber the Trust. The outfit </w:t>
      </w:r>
      <w:r>
        <w:rPr>
          <w:i/>
          <w:iCs/>
        </w:rPr>
        <w:t>knowingly took on a concealed lease during this suit without leave of this Court</w:t>
      </w:r>
      <w:r>
        <w:t>.</w:t>
      </w:r>
    </w:p>
    <w:p w14:paraId="63FF7A88" w14:textId="786CAA10" w:rsidR="00580E82" w:rsidRDefault="00000000" w:rsidP="00286BC0">
      <w:pPr>
        <w:pStyle w:val="ListNumber"/>
      </w:pPr>
      <w:r>
        <w:t>The Trust publicly promised public access in 2024 (Exhibits P13, P14). D2</w:t>
      </w:r>
      <w:r w:rsidR="00F728F3">
        <w:t>, however,</w:t>
      </w:r>
      <w:r>
        <w:t xml:space="preserve"> had a</w:t>
      </w:r>
      <w:r w:rsidR="00F728F3">
        <w:t xml:space="preserve"> different</w:t>
      </w:r>
      <w:r>
        <w:t xml:space="preserve"> hidden, self-enriching scheme</w:t>
      </w:r>
      <w:r w:rsidR="00F728F3">
        <w:t xml:space="preserve"> in mind.</w:t>
      </w:r>
    </w:p>
    <w:p w14:paraId="5B0C8E85" w14:textId="2F425005" w:rsidR="00580E82" w:rsidRDefault="00000000" w:rsidP="00286BC0">
      <w:pPr>
        <w:pStyle w:val="ListNumber"/>
      </w:pPr>
      <w:r>
        <w:t>Against eighteen (18) completed years of accounting obligation, the Trust’s produced bank records show only Rs. 6,000/-, save a Rs. 2,10,000/- no-GST payment to a social-media academy by D2 (Minutes Book p. 21, item 6).</w:t>
      </w:r>
    </w:p>
    <w:p w14:paraId="0BC4595D" w14:textId="7D58DB1F" w:rsidR="00580E82" w:rsidRDefault="00000000" w:rsidP="00286BC0">
      <w:pPr>
        <w:pStyle w:val="ListNumber"/>
      </w:pPr>
      <w:r>
        <w:t xml:space="preserve">Yet on 24.01.2026, D2 and other Trustees claim the Trust </w:t>
      </w:r>
      <w:r>
        <w:rPr>
          <w:i/>
          <w:iCs/>
        </w:rPr>
        <w:t>“spent”</w:t>
      </w:r>
      <w:r>
        <w:t xml:space="preserve"> nearly Rupees Twelve Crore (Rs. 11,99,85,900/-) (Minutes Book p. 19, item 4) — without accounts or GST records.</w:t>
      </w:r>
    </w:p>
    <w:p w14:paraId="06A4FE7C" w14:textId="64BA869E" w:rsidR="00580E82" w:rsidRDefault="000D3DC6" w:rsidP="00286BC0">
      <w:pPr>
        <w:pStyle w:val="ListNumber"/>
      </w:pPr>
      <w:r>
        <w:t xml:space="preserve">The scheme is simple: D2 </w:t>
      </w:r>
      <w:r>
        <w:rPr>
          <w:i/>
          <w:iCs/>
        </w:rPr>
        <w:t>“borrows”</w:t>
      </w:r>
      <w:r>
        <w:t xml:space="preserve"> close to a crore from himself </w:t>
      </w:r>
      <w:r>
        <w:rPr>
          <w:i/>
          <w:iCs/>
        </w:rPr>
        <w:t>et al</w:t>
      </w:r>
      <w:r>
        <w:t xml:space="preserve">; the Trust spends it </w:t>
      </w:r>
      <w:r>
        <w:rPr>
          <w:i/>
          <w:iCs/>
        </w:rPr>
        <w:t>“with no accounts”</w:t>
      </w:r>
      <w:r>
        <w:t xml:space="preserve">; decade-long lease income is </w:t>
      </w:r>
      <w:r>
        <w:rPr>
          <w:i/>
          <w:iCs/>
        </w:rPr>
        <w:t>“earmarked”</w:t>
      </w:r>
      <w:r>
        <w:t xml:space="preserve"> to repay himself </w:t>
      </w:r>
      <w:r>
        <w:rPr>
          <w:i/>
          <w:iCs/>
        </w:rPr>
        <w:t>et al</w:t>
      </w:r>
      <w:r>
        <w:t xml:space="preserve"> (Minutes Book p. 19, item 4).</w:t>
      </w:r>
    </w:p>
    <w:p w14:paraId="02C38948" w14:textId="74E79CA6" w:rsidR="00580E82" w:rsidRDefault="00BD1BFF" w:rsidP="00286BC0">
      <w:pPr>
        <w:pStyle w:val="ListNumber"/>
      </w:pPr>
      <w:r>
        <w:t>A doctor performs unneeded surgery on a healthy patient, keeps no records, then wants the patient’s home for the bill. Simple scheme.</w:t>
      </w:r>
    </w:p>
    <w:p w14:paraId="3D3B8BA4" w14:textId="7380E047" w:rsidR="00F645A4" w:rsidRDefault="00F645A4" w:rsidP="00286BC0">
      <w:pPr>
        <w:pStyle w:val="ListNumber"/>
      </w:pPr>
      <w:r>
        <w:lastRenderedPageBreak/>
        <w:t>The cycle repeats: D2’s one falsehood creates confusion. Confusion shields the creation of the next falsehood. And the first falsehood is pled as entitlement.</w:t>
      </w:r>
    </w:p>
    <w:p w14:paraId="22764568" w14:textId="44FFCD3F" w:rsidR="00580E82" w:rsidRDefault="006A0AAB" w:rsidP="00286BC0">
      <w:pPr>
        <w:pStyle w:val="ListNumber"/>
      </w:pPr>
      <w:r>
        <w:t xml:space="preserve">D2’s first approach in this Court itself was a blatant falsehood. In O.S. 243/2024 he claimed the Trust was constituted under Deed No. 17/IV/2024 and that the Plaintiff had </w:t>
      </w:r>
      <w:r>
        <w:rPr>
          <w:i/>
          <w:iCs/>
        </w:rPr>
        <w:t>“no connection with the Trust”</w:t>
      </w:r>
      <w:r>
        <w:t>. While the Court addressed that, he moved on to the next falsehood.</w:t>
      </w:r>
    </w:p>
    <w:p w14:paraId="15CCC565" w14:textId="5F3F61DC" w:rsidR="00096E22" w:rsidRDefault="006A0AAB" w:rsidP="00096E22">
      <w:pPr>
        <w:pStyle w:val="ListNumber"/>
      </w:pPr>
      <w:r>
        <w:t xml:space="preserve">In this suit the Plaintiff challenged D2’s amendments as void </w:t>
      </w:r>
      <w:r>
        <w:rPr>
          <w:i/>
          <w:iCs/>
        </w:rPr>
        <w:t>ab initio</w:t>
      </w:r>
      <w:r>
        <w:t xml:space="preserve"> for want of beneficiary consent per </w:t>
      </w:r>
      <w:r>
        <w:rPr>
          <w:i/>
          <w:iCs/>
        </w:rPr>
        <w:t>Section 11 of the Indian Trusts Act, 1882</w:t>
      </w:r>
      <w:r>
        <w:t>.  D2’s answer: without consent or leave of this Court, D2 created yet another amendment (38/IV/2026). While the Court addressed that, he moved on.</w:t>
      </w:r>
    </w:p>
    <w:p w14:paraId="04EBDD08" w14:textId="6BBD7BB3" w:rsidR="00580E82" w:rsidRDefault="00000000" w:rsidP="00286BC0">
      <w:pPr>
        <w:pStyle w:val="ListNumber"/>
      </w:pPr>
      <w:r>
        <w:t xml:space="preserve">I.A. 5/2025 was no routine discovery but was forced by an eighteen-year fiduciary default: D2 is duty-bound to maintain Trust accounts under Deed No. 2/IV/2007 and </w:t>
      </w:r>
      <w:r>
        <w:rPr>
          <w:i/>
          <w:iCs/>
        </w:rPr>
        <w:t>Sections 19 and 57 of the Indian Trusts Act, 1882</w:t>
      </w:r>
      <w:r>
        <w:t>. The High Court intervened for timely disposal.</w:t>
      </w:r>
    </w:p>
    <w:p w14:paraId="678B2890" w14:textId="0710CA88" w:rsidR="00580E82" w:rsidRDefault="00000000" w:rsidP="00286BC0">
      <w:pPr>
        <w:pStyle w:val="ListNumber"/>
      </w:pPr>
      <w:r>
        <w:t xml:space="preserve">D2’s solution was elegant in its simplicity: </w:t>
      </w:r>
      <w:r w:rsidR="00DA11FE">
        <w:rPr>
          <w:rFonts w:ascii="-webkit-standard" w:hAnsi="-webkit-standard"/>
          <w:color w:val="000000"/>
          <w:sz w:val="27"/>
          <w:szCs w:val="27"/>
        </w:rPr>
        <w:t>He did not merely omit the truth</w:t>
      </w:r>
      <w:r w:rsidR="00DA11FE">
        <w:rPr>
          <w:rFonts w:ascii="-webkit-standard" w:hAnsi="-webkit-standard"/>
          <w:color w:val="000000"/>
          <w:sz w:val="27"/>
          <w:szCs w:val="27"/>
        </w:rPr>
        <w:t xml:space="preserve">, </w:t>
      </w:r>
      <w:r w:rsidR="00DA11FE">
        <w:t>but</w:t>
      </w:r>
      <w:r>
        <w:t xml:space="preserve"> swore to this Court (16.02.2026, p. 2, items 13-14) that accounts were </w:t>
      </w:r>
      <w:r>
        <w:rPr>
          <w:i/>
          <w:iCs/>
        </w:rPr>
        <w:t>“not available for production”</w:t>
      </w:r>
      <w:r>
        <w:t xml:space="preserve"> and </w:t>
      </w:r>
      <w:r>
        <w:rPr>
          <w:i/>
          <w:iCs/>
        </w:rPr>
        <w:t>“nothing material has been concealed”</w:t>
      </w:r>
      <w:r>
        <w:t xml:space="preserve">. </w:t>
      </w:r>
    </w:p>
    <w:p w14:paraId="50802C86" w14:textId="7B4626CB" w:rsidR="00096E22" w:rsidRDefault="00096E22" w:rsidP="00286BC0">
      <w:pPr>
        <w:pStyle w:val="ListNumber"/>
      </w:pPr>
      <w:r>
        <w:t xml:space="preserve">The oath is </w:t>
      </w:r>
      <w:r>
        <w:rPr>
          <w:i/>
          <w:iCs/>
        </w:rPr>
        <w:t>prima facie</w:t>
      </w:r>
      <w:r>
        <w:t xml:space="preserve"> false: construction, taxes, amendments, O.S. 243/2024, and employees are claimed — but no accounts.  Court had to address that.</w:t>
      </w:r>
    </w:p>
    <w:p w14:paraId="128F3611" w14:textId="735B1D05" w:rsidR="00580E82" w:rsidRDefault="00096E22" w:rsidP="00286BC0">
      <w:pPr>
        <w:pStyle w:val="ListNumber"/>
      </w:pPr>
      <w:r>
        <w:t xml:space="preserve">But D2 had moved on. He was concealing the ten-year lease and Rupees Twelve Crore of </w:t>
      </w:r>
      <w:r>
        <w:rPr>
          <w:i/>
          <w:iCs/>
        </w:rPr>
        <w:t>“expenditure”</w:t>
      </w:r>
      <w:r>
        <w:t xml:space="preserve">. It worked: I.A. 5/2025 was closed </w:t>
      </w:r>
      <w:r>
        <w:rPr>
          <w:i/>
          <w:iCs/>
        </w:rPr>
        <w:t>“in light of that affidavit”</w:t>
      </w:r>
      <w:r>
        <w:t xml:space="preserve"> without </w:t>
      </w:r>
      <w:r>
        <w:rPr>
          <w:i/>
          <w:iCs/>
        </w:rPr>
        <w:t>bona fides</w:t>
      </w:r>
      <w:r>
        <w:t>, the HC order notwithstanding.</w:t>
      </w:r>
    </w:p>
    <w:p w14:paraId="1B19DD34" w14:textId="3A21E691" w:rsidR="00580E82" w:rsidRDefault="00096E22" w:rsidP="00286BC0">
      <w:pPr>
        <w:pStyle w:val="ListNumber"/>
      </w:pPr>
      <w:r>
        <w:t>D2’s acts are no isolated lapse. It is his pattern. With utmost respect, the Plaintiff is compelled to enumerate the pattern to this Court.</w:t>
      </w:r>
    </w:p>
    <w:p w14:paraId="4A47E21E" w14:textId="6895F069" w:rsidR="00580E82" w:rsidRDefault="00C06891" w:rsidP="00286BC0">
      <w:pPr>
        <w:pStyle w:val="ListNumber"/>
      </w:pPr>
      <w:r>
        <w:rPr>
          <w:i/>
          <w:iCs/>
        </w:rPr>
        <w:t>First</w:t>
      </w:r>
      <w:r>
        <w:t>, in O.S. 243/2024, D2 approached this Court for the Trust while concealing its founding deed. No adverse inference followed.</w:t>
      </w:r>
    </w:p>
    <w:p w14:paraId="42BA64A7" w14:textId="3B14C2F3" w:rsidR="00580E82" w:rsidRDefault="00315457" w:rsidP="00286BC0">
      <w:pPr>
        <w:pStyle w:val="ListNumber"/>
      </w:pPr>
      <w:r>
        <w:t xml:space="preserve">While the Plaintiff’s challenge to the amendments is pending, D2 created a new amendment. No interim consequence, </w:t>
      </w:r>
      <w:r>
        <w:rPr>
          <w:i/>
          <w:iCs/>
        </w:rPr>
        <w:t>second</w:t>
      </w:r>
      <w:r>
        <w:t xml:space="preserve"> time.</w:t>
      </w:r>
    </w:p>
    <w:p w14:paraId="03B426A6" w14:textId="10933759" w:rsidR="00580E82" w:rsidRDefault="00000000" w:rsidP="00286BC0">
      <w:pPr>
        <w:pStyle w:val="ListNumber"/>
      </w:pPr>
      <w:r>
        <w:rPr>
          <w:i/>
          <w:iCs/>
        </w:rPr>
        <w:t>Third</w:t>
      </w:r>
      <w:r>
        <w:t xml:space="preserve">, on 16.02.2026, D2 swore </w:t>
      </w:r>
      <w:r>
        <w:rPr>
          <w:i/>
          <w:iCs/>
        </w:rPr>
        <w:t>“nothing material has been concealed.”</w:t>
      </w:r>
      <w:r>
        <w:t xml:space="preserve"> </w:t>
      </w:r>
      <w:r>
        <w:rPr>
          <w:i/>
          <w:iCs/>
        </w:rPr>
        <w:t>Prima facie</w:t>
      </w:r>
      <w:r>
        <w:t xml:space="preserve"> false. I.A. 5/2025 was closed. No adverse inference.</w:t>
      </w:r>
    </w:p>
    <w:p w14:paraId="313B68D3" w14:textId="60435D68" w:rsidR="00580E82" w:rsidRDefault="00000000" w:rsidP="00286BC0">
      <w:pPr>
        <w:pStyle w:val="ListNumber"/>
      </w:pPr>
      <w:r>
        <w:t xml:space="preserve">The Plaintiff exposed (13.03.2026) the affidavit’s </w:t>
      </w:r>
      <w:r>
        <w:rPr>
          <w:i/>
          <w:iCs/>
        </w:rPr>
        <w:t>prima facie</w:t>
      </w:r>
      <w:r>
        <w:t xml:space="preserve"> falsity and the concealed </w:t>
      </w:r>
      <w:proofErr w:type="spellStart"/>
      <w:r>
        <w:t>commercialisation</w:t>
      </w:r>
      <w:proofErr w:type="spellEnd"/>
      <w:r>
        <w:t xml:space="preserve">. No adverse consequence for the </w:t>
      </w:r>
      <w:r>
        <w:rPr>
          <w:i/>
          <w:iCs/>
        </w:rPr>
        <w:t>fourth</w:t>
      </w:r>
      <w:r>
        <w:t xml:space="preserve"> time.</w:t>
      </w:r>
    </w:p>
    <w:p w14:paraId="4F313B2C" w14:textId="3DA7E58A" w:rsidR="00580E82" w:rsidRDefault="00000000" w:rsidP="00286BC0">
      <w:pPr>
        <w:pStyle w:val="ListNumber"/>
      </w:pPr>
      <w:r>
        <w:rPr>
          <w:i/>
          <w:iCs/>
        </w:rPr>
        <w:t>Fifth</w:t>
      </w:r>
      <w:r>
        <w:t>, on 31.03.2026, the Plaintiff filed I.A. 6/2026.</w:t>
      </w:r>
      <w:r w:rsidR="00DA11FE">
        <w:t xml:space="preserve"> D2 objected with absurd reasoning, and no compelled accounting has happened till date.</w:t>
      </w:r>
    </w:p>
    <w:p w14:paraId="2EB7DCA1" w14:textId="6D78C33A" w:rsidR="00580E82" w:rsidRDefault="00344CDC" w:rsidP="00286BC0">
      <w:pPr>
        <w:pStyle w:val="ListNumber"/>
      </w:pPr>
      <w:r>
        <w:t xml:space="preserve">While the Court remains focused on D2’s objections, on 18.05.2026, D2 </w:t>
      </w:r>
      <w:r w:rsidR="00DA11FE">
        <w:lastRenderedPageBreak/>
        <w:t>s</w:t>
      </w:r>
      <w:r>
        <w:t>neak</w:t>
      </w:r>
      <w:r w:rsidR="00DA11FE">
        <w:t>s</w:t>
      </w:r>
      <w:r>
        <w:t xml:space="preserve"> in polar contradictions to his own oath. </w:t>
      </w:r>
      <w:r>
        <w:rPr>
          <w:i/>
          <w:iCs/>
        </w:rPr>
        <w:t>Sixth</w:t>
      </w:r>
      <w:r>
        <w:t xml:space="preserve"> such instance.</w:t>
      </w:r>
    </w:p>
    <w:p w14:paraId="3AFA5A34" w14:textId="1DCD89D0" w:rsidR="00842902" w:rsidRPr="00842902" w:rsidRDefault="00842902" w:rsidP="00286BC0">
      <w:pPr>
        <w:pStyle w:val="ListNumber"/>
      </w:pPr>
      <w:r>
        <w:t>With utmost respect, what more must the plaintiff do before the Court decides D2’s falsehoods carry consequence? Plaintiff cannot litigate daily while D2 shifts ground daily.</w:t>
      </w:r>
    </w:p>
    <w:p w14:paraId="60A0EC5D" w14:textId="272126F7" w:rsidR="00580E82" w:rsidRDefault="00000000" w:rsidP="00286BC0">
      <w:pPr>
        <w:pStyle w:val="ListNumber"/>
      </w:pPr>
      <w:r>
        <w:rPr>
          <w:i/>
          <w:iCs/>
        </w:rPr>
        <w:t>Section 49 of the Indian Trusts Act, 1882</w:t>
      </w:r>
      <w:r>
        <w:t xml:space="preserve"> exists to rein in trustees like D2. D2 evaded HC-directed accounting for four (4) months, ignored account demands for twenty (20) months, and denied beneficiary rights for eighteen (18) years. In the 19</w:t>
      </w:r>
      <w:r>
        <w:rPr>
          <w:vertAlign w:val="superscript"/>
        </w:rPr>
        <w:t>th</w:t>
      </w:r>
      <w:r>
        <w:t xml:space="preserve">, D2 wants to </w:t>
      </w:r>
      <w:proofErr w:type="spellStart"/>
      <w:r>
        <w:t>commercialise</w:t>
      </w:r>
      <w:proofErr w:type="spellEnd"/>
      <w:r>
        <w:t xml:space="preserve"> the corpus in concealment.</w:t>
      </w:r>
    </w:p>
    <w:p w14:paraId="1898A34D" w14:textId="3113C705" w:rsidR="00580E82" w:rsidRPr="003A1535" w:rsidRDefault="00000000" w:rsidP="003A1535">
      <w:pPr>
        <w:pStyle w:val="ListNumber"/>
      </w:pPr>
      <w:r>
        <w:t xml:space="preserve">Urgency of I.A. 5/2026 and </w:t>
      </w:r>
      <w:r w:rsidR="00DA11FE">
        <w:t xml:space="preserve">I.A. </w:t>
      </w:r>
      <w:r>
        <w:t xml:space="preserve">6/2026 is </w:t>
      </w:r>
      <w:r w:rsidR="00DA11FE">
        <w:t xml:space="preserve">now </w:t>
      </w:r>
      <w:r>
        <w:t xml:space="preserve">structural. Each day compounds accountability loss, financial burden, and heritage destruction. Delay turns non-disclosure into advantage, advantage into </w:t>
      </w:r>
      <w:r>
        <w:rPr>
          <w:i/>
          <w:iCs/>
        </w:rPr>
        <w:t>fait accompli</w:t>
      </w:r>
      <w:r>
        <w:t>.</w:t>
      </w:r>
    </w:p>
    <w:p w14:paraId="38A6B1C7" w14:textId="346DF983" w:rsidR="00286BC0" w:rsidRPr="003A1535" w:rsidRDefault="00344CDC" w:rsidP="003A1535">
      <w:pPr>
        <w:pStyle w:val="ListNumber"/>
      </w:pPr>
      <w:r>
        <w:t xml:space="preserve">D2 cannot use the </w:t>
      </w:r>
      <w:r>
        <w:rPr>
          <w:i/>
          <w:iCs/>
        </w:rPr>
        <w:t>“Board of Trustees”</w:t>
      </w:r>
      <w:r>
        <w:t xml:space="preserve"> as a </w:t>
      </w:r>
      <w:r>
        <w:rPr>
          <w:i/>
          <w:iCs/>
        </w:rPr>
        <w:t>post-facto</w:t>
      </w:r>
      <w:r>
        <w:t xml:space="preserve"> shield. O.S. 243/2024 was filed by D2 against a beneficiary without a Trustee resolution. the Trust Deed puts the accounting duty only on D2 and the lease bears only D2’s signature alone. Having acted, concealed, and defaulted alone, D2 cannot shift the consequences to the Trust corpus or its beneficiaries.</w:t>
      </w:r>
    </w:p>
    <w:p w14:paraId="74E9E474" w14:textId="78437432" w:rsidR="00580E82" w:rsidRDefault="003A1535" w:rsidP="00286BC0">
      <w:pPr>
        <w:pStyle w:val="ListNumber"/>
      </w:pPr>
      <w:r>
        <w:t xml:space="preserve">For I.A. 6/2026, the pecuniary field must at least cover the alleged Rs. 11,99,85,900/- expenditure on D2’s own record (Minutes Book p. 19, item 4). The Plaintiff reserves the right to seek protection and forensic examination of D2’s original Minutes Book — including ink-age and ESDA — under </w:t>
      </w:r>
      <w:r>
        <w:rPr>
          <w:i/>
          <w:iCs/>
        </w:rPr>
        <w:t xml:space="preserve">Sections 39 &amp; 72 of the Bharatiya </w:t>
      </w:r>
      <w:proofErr w:type="spellStart"/>
      <w:r>
        <w:rPr>
          <w:i/>
          <w:iCs/>
        </w:rPr>
        <w:t>Sakshya</w:t>
      </w:r>
      <w:proofErr w:type="spellEnd"/>
      <w:r>
        <w:rPr>
          <w:i/>
          <w:iCs/>
        </w:rPr>
        <w:t xml:space="preserve"> </w:t>
      </w:r>
      <w:proofErr w:type="spellStart"/>
      <w:r>
        <w:rPr>
          <w:i/>
          <w:iCs/>
        </w:rPr>
        <w:t>Adhiniyam</w:t>
      </w:r>
      <w:proofErr w:type="spellEnd"/>
      <w:r>
        <w:rPr>
          <w:i/>
          <w:iCs/>
        </w:rPr>
        <w:t xml:space="preserve"> (BSA), 2023</w:t>
      </w:r>
      <w:r>
        <w:t xml:space="preserve">. The 24.01.2026 minutes record participation by C.K. Gita, </w:t>
      </w:r>
      <w:proofErr w:type="spellStart"/>
      <w:r>
        <w:t>Udayabhanu</w:t>
      </w:r>
      <w:proofErr w:type="spellEnd"/>
      <w:r>
        <w:t xml:space="preserve">, Dr. Arun </w:t>
      </w:r>
      <w:proofErr w:type="spellStart"/>
      <w:r>
        <w:t>Udayabhanu</w:t>
      </w:r>
      <w:proofErr w:type="spellEnd"/>
      <w:r>
        <w:t xml:space="preserve">, and Radhakrishnan, alongside D2, D3 and D4. These people’s personal responsibility and </w:t>
      </w:r>
      <w:proofErr w:type="spellStart"/>
      <w:r>
        <w:t>impleadment</w:t>
      </w:r>
      <w:proofErr w:type="spellEnd"/>
      <w:r>
        <w:t xml:space="preserve"> may arise later.</w:t>
      </w:r>
    </w:p>
    <w:p w14:paraId="4BEE1AB2" w14:textId="77777777" w:rsidR="00580E82" w:rsidRDefault="00000000" w:rsidP="00286BC0">
      <w:pPr>
        <w:pStyle w:val="Heading3"/>
      </w:pPr>
      <w:r>
        <w:t>PRAYER</w:t>
      </w:r>
    </w:p>
    <w:p w14:paraId="41004BB9" w14:textId="77777777" w:rsidR="00344CDC" w:rsidRDefault="00344CDC" w:rsidP="003A1535">
      <w:pPr>
        <w:pStyle w:val="CapitalListNumber"/>
        <w:numPr>
          <w:ilvl w:val="0"/>
          <w:numId w:val="0"/>
        </w:numPr>
      </w:pPr>
    </w:p>
    <w:p w14:paraId="3A78FF61" w14:textId="4ECD9CAC" w:rsidR="003A1535" w:rsidRDefault="00000000" w:rsidP="003A1535">
      <w:pPr>
        <w:pStyle w:val="CapitalListNumber"/>
        <w:numPr>
          <w:ilvl w:val="0"/>
          <w:numId w:val="0"/>
        </w:numPr>
      </w:pPr>
      <w:r>
        <w:t>It is prayed that I.A. 5/2026 and I.A. 6/2026 be taken up and disposed of urgently, before prejudice becomes irreversible.</w:t>
      </w:r>
    </w:p>
    <w:p w14:paraId="362371EB" w14:textId="77777777" w:rsidR="00344CDC" w:rsidRDefault="00344CDC" w:rsidP="003A1535">
      <w:pPr>
        <w:pStyle w:val="CapitalListNumber"/>
        <w:numPr>
          <w:ilvl w:val="0"/>
          <w:numId w:val="0"/>
        </w:numPr>
      </w:pPr>
    </w:p>
    <w:p w14:paraId="7FC11E0D" w14:textId="4365DEDC" w:rsidR="00C1791A" w:rsidRDefault="00C1791A" w:rsidP="003A1535">
      <w:pPr>
        <w:pStyle w:val="CapitalListNumber"/>
        <w:numPr>
          <w:ilvl w:val="0"/>
          <w:numId w:val="0"/>
        </w:numPr>
      </w:pPr>
      <w:r>
        <w:t>Dated this the ______ day of _________________, 2026.</w:t>
      </w:r>
    </w:p>
    <w:p w14:paraId="6330A089" w14:textId="77777777" w:rsidR="003A1535" w:rsidRDefault="003A1535" w:rsidP="003A1535">
      <w:pPr>
        <w:pStyle w:val="CapitalListNumber"/>
        <w:numPr>
          <w:ilvl w:val="0"/>
          <w:numId w:val="0"/>
        </w:numPr>
      </w:pPr>
    </w:p>
    <w:tbl>
      <w:tblPr>
        <w:tblStyle w:val="TableGrid"/>
        <w:tblW w:w="85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270"/>
        <w:gridCol w:w="3510"/>
      </w:tblGrid>
      <w:tr w:rsidR="00C1791A" w:rsidRPr="00650ECB" w14:paraId="38C5DF1D" w14:textId="77777777" w:rsidTr="00D00E0C">
        <w:tc>
          <w:tcPr>
            <w:tcW w:w="4770" w:type="dxa"/>
          </w:tcPr>
          <w:p w14:paraId="1258059D" w14:textId="4FA428E6" w:rsidR="00C1791A" w:rsidRPr="00650ECB" w:rsidRDefault="00D00E0C" w:rsidP="00286BC0">
            <w:pPr>
              <w:pStyle w:val="Table"/>
            </w:pPr>
            <w:r>
              <w:t>Place: Haripad</w:t>
            </w:r>
          </w:p>
        </w:tc>
        <w:tc>
          <w:tcPr>
            <w:tcW w:w="270" w:type="dxa"/>
          </w:tcPr>
          <w:p w14:paraId="55DC1DF1" w14:textId="77777777" w:rsidR="00C1791A" w:rsidRPr="00650ECB" w:rsidRDefault="00C1791A" w:rsidP="00286BC0">
            <w:pPr>
              <w:pStyle w:val="Table"/>
            </w:pPr>
          </w:p>
        </w:tc>
        <w:tc>
          <w:tcPr>
            <w:tcW w:w="3510" w:type="dxa"/>
          </w:tcPr>
          <w:p w14:paraId="51800ED5" w14:textId="0CBC9D1B" w:rsidR="00C1791A" w:rsidRPr="00650ECB" w:rsidRDefault="00D00E0C" w:rsidP="003A1535">
            <w:pPr>
              <w:pStyle w:val="Table"/>
              <w:jc w:val="right"/>
            </w:pPr>
            <w:r>
              <w:t xml:space="preserve">Counsel for the Plaintiff </w:t>
            </w:r>
          </w:p>
        </w:tc>
      </w:tr>
    </w:tbl>
    <w:p w14:paraId="2A080FEF" w14:textId="77777777" w:rsidR="00C1791A" w:rsidRDefault="00C1791A" w:rsidP="00286BC0"/>
    <w:sectPr w:rsidR="00C1791A" w:rsidSect="00CC12AF">
      <w:footerReference w:type="even" r:id="rId7"/>
      <w:footerReference w:type="default" r:id="rId8"/>
      <w:footerReference w:type="first" r:id="rId9"/>
      <w:pgSz w:w="11906" w:h="16838"/>
      <w:pgMar w:top="1440" w:right="1440" w:bottom="1440" w:left="1800" w:header="0" w:footer="720" w:gutter="0"/>
      <w:pgNumType w:fmt="numberInDash"/>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703A2" w14:textId="77777777" w:rsidR="00891B7B" w:rsidRDefault="00891B7B" w:rsidP="00286BC0">
      <w:r>
        <w:separator/>
      </w:r>
    </w:p>
  </w:endnote>
  <w:endnote w:type="continuationSeparator" w:id="0">
    <w:p w14:paraId="4073ACEC" w14:textId="77777777" w:rsidR="00891B7B" w:rsidRDefault="00891B7B" w:rsidP="00286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HELVETICA NEUE CONDENSED">
    <w:panose1 w:val="02000806000000020004"/>
    <w:charset w:val="00"/>
    <w:family w:val="auto"/>
    <w:pitch w:val="variable"/>
    <w:sig w:usb0="A00002FF" w:usb1="5000205A" w:usb2="00000000" w:usb3="00000000" w:csb0="00000001" w:csb1="00000000"/>
  </w:font>
  <w:font w:name="-webkit-standard">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715374"/>
      <w:docPartObj>
        <w:docPartGallery w:val="Page Numbers (Bottom of Page)"/>
        <w:docPartUnique/>
      </w:docPartObj>
    </w:sdtPr>
    <w:sdtContent>
      <w:p w14:paraId="415D3FFF" w14:textId="77777777" w:rsidR="000B6AC5" w:rsidRDefault="00000000" w:rsidP="00286BC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316D004A" w14:textId="77777777" w:rsidR="000B6AC5" w:rsidRDefault="000B6AC5" w:rsidP="00286B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767863"/>
      <w:docPartObj>
        <w:docPartGallery w:val="Page Numbers (Bottom of Page)"/>
        <w:docPartUnique/>
      </w:docPartObj>
    </w:sdtPr>
    <w:sdtContent>
      <w:p w14:paraId="472F84F7" w14:textId="77777777" w:rsidR="000B6AC5" w:rsidRDefault="00000000" w:rsidP="00286BC0">
        <w:pPr>
          <w:pStyle w:val="Footer"/>
          <w:rPr>
            <w:rStyle w:val="PageNumber"/>
          </w:rPr>
        </w:pPr>
        <w:r>
          <w:fldChar w:fldCharType="begin"/>
        </w:r>
        <w:r>
          <w:instrText xml:space="preserve"> PAGE </w:instrText>
        </w:r>
        <w:r>
          <w:fldChar w:fldCharType="separate"/>
        </w:r>
        <w:r>
          <w:t>2</w:t>
        </w:r>
        <w:r>
          <w:fldChar w:fldCharType="end"/>
        </w:r>
      </w:p>
    </w:sdtContent>
  </w:sdt>
  <w:p w14:paraId="050CDFA9" w14:textId="77777777" w:rsidR="000B6AC5" w:rsidRDefault="000B6AC5" w:rsidP="00286B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880851"/>
      <w:docPartObj>
        <w:docPartGallery w:val="Page Numbers (Bottom of Page)"/>
        <w:docPartUnique/>
      </w:docPartObj>
    </w:sdtPr>
    <w:sdtContent>
      <w:p w14:paraId="7541A5F3" w14:textId="77777777" w:rsidR="000B6AC5" w:rsidRDefault="00000000" w:rsidP="00286BC0">
        <w:pPr>
          <w:pStyle w:val="Footer"/>
          <w:rPr>
            <w:rStyle w:val="PageNumber"/>
          </w:rPr>
        </w:pPr>
        <w:r>
          <w:fldChar w:fldCharType="begin"/>
        </w:r>
        <w:r>
          <w:instrText xml:space="preserve"> PAGE </w:instrText>
        </w:r>
        <w:r>
          <w:fldChar w:fldCharType="separate"/>
        </w:r>
        <w:r>
          <w:t>2</w:t>
        </w:r>
        <w:r>
          <w:fldChar w:fldCharType="end"/>
        </w:r>
      </w:p>
    </w:sdtContent>
  </w:sdt>
  <w:p w14:paraId="72884992" w14:textId="77777777" w:rsidR="000B6AC5" w:rsidRDefault="000B6AC5" w:rsidP="00286B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444A4" w14:textId="77777777" w:rsidR="00891B7B" w:rsidRDefault="00891B7B" w:rsidP="00286BC0">
      <w:r>
        <w:separator/>
      </w:r>
    </w:p>
  </w:footnote>
  <w:footnote w:type="continuationSeparator" w:id="0">
    <w:p w14:paraId="5E6267A2" w14:textId="77777777" w:rsidR="00891B7B" w:rsidRDefault="00891B7B" w:rsidP="00286B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1522BB4"/>
    <w:lvl w:ilvl="0">
      <w:start w:val="1"/>
      <w:numFmt w:val="decimal"/>
      <w:pStyle w:val="ListNumber"/>
      <w:lvlText w:val="%1."/>
      <w:lvlJc w:val="left"/>
      <w:pPr>
        <w:tabs>
          <w:tab w:val="num" w:pos="360"/>
        </w:tabs>
        <w:ind w:left="360" w:hanging="360"/>
      </w:pPr>
    </w:lvl>
  </w:abstractNum>
  <w:abstractNum w:abstractNumId="1" w15:restartNumberingAfterBreak="0">
    <w:nsid w:val="16BC6310"/>
    <w:multiLevelType w:val="multilevel"/>
    <w:tmpl w:val="5DBC519E"/>
    <w:lvl w:ilvl="0">
      <w:start w:val="1"/>
      <w:numFmt w:val="bullet"/>
      <w:pStyle w:val="Bulleting"/>
      <w:lvlText w:val="o"/>
      <w:lvlJc w:val="left"/>
      <w:pPr>
        <w:tabs>
          <w:tab w:val="num" w:pos="0"/>
        </w:tabs>
        <w:ind w:left="720" w:hanging="360"/>
      </w:pPr>
      <w:rPr>
        <w:rFonts w:ascii="Courier New" w:hAnsi="Courier New" w:cs="Courier New" w:hint="default"/>
        <w:sz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E6C1C46"/>
    <w:multiLevelType w:val="hybridMultilevel"/>
    <w:tmpl w:val="4BA466C8"/>
    <w:lvl w:ilvl="0" w:tplc="993862CA">
      <w:start w:val="1"/>
      <w:numFmt w:val="lowerLetter"/>
      <w:pStyle w:val="LetteredLis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521479"/>
    <w:multiLevelType w:val="multilevel"/>
    <w:tmpl w:val="7C1C9B92"/>
    <w:lvl w:ilvl="0">
      <w:start w:val="1"/>
      <w:numFmt w:val="decimal"/>
      <w:lvlText w:val="%1)"/>
      <w:lvlJc w:val="left"/>
      <w:pPr>
        <w:tabs>
          <w:tab w:val="num" w:pos="0"/>
        </w:tabs>
        <w:ind w:left="547" w:hanging="547"/>
      </w:pPr>
    </w:lvl>
    <w:lvl w:ilvl="1">
      <w:start w:val="1"/>
      <w:numFmt w:val="upp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lowerLetter"/>
      <w:lvlText w:val="%4)"/>
      <w:lvlJc w:val="left"/>
      <w:pPr>
        <w:tabs>
          <w:tab w:val="num" w:pos="0"/>
        </w:tabs>
        <w:ind w:left="1440" w:hanging="36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32C615D0"/>
    <w:multiLevelType w:val="multilevel"/>
    <w:tmpl w:val="26421280"/>
    <w:lvl w:ilvl="0">
      <w:start w:val="1"/>
      <w:numFmt w:val="decimal"/>
      <w:pStyle w:val="ListNumber"/>
      <w:lvlText w:val="%1)"/>
      <w:lvlJc w:val="left"/>
      <w:pPr>
        <w:ind w:left="360" w:hanging="360"/>
      </w:pPr>
    </w:lvl>
    <w:lvl w:ilvl="1">
      <w:start w:val="1"/>
      <w:numFmt w:val="decimal"/>
      <w:pStyle w:val="ListNumber2"/>
      <w:lvlText w:val="%1.%2)"/>
      <w:lvlJc w:val="left"/>
      <w:pPr>
        <w:ind w:left="720" w:hanging="360"/>
      </w:pPr>
    </w:lvl>
    <w:lvl w:ilvl="2">
      <w:start w:val="1"/>
      <w:numFmt w:val="decimal"/>
      <w:pStyle w:val="ListNumber3"/>
      <w:lvlText w:val="%1.%2.%3)"/>
      <w:lvlJc w:val="left"/>
      <w:pPr>
        <w:ind w:left="1080" w:hanging="360"/>
      </w:pPr>
    </w:lvl>
    <w:lvl w:ilvl="3">
      <w:start w:val="1"/>
      <w:numFmt w:val="decimal"/>
      <w:pStyle w:val="ListNumber4"/>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5" w15:restartNumberingAfterBreak="0">
    <w:nsid w:val="35F81891"/>
    <w:multiLevelType w:val="multilevel"/>
    <w:tmpl w:val="30E2A7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E530ED9"/>
    <w:multiLevelType w:val="hybridMultilevel"/>
    <w:tmpl w:val="97D2B960"/>
    <w:lvl w:ilvl="0" w:tplc="18F60DA8">
      <w:start w:val="1"/>
      <w:numFmt w:val="upperLetter"/>
      <w:pStyle w:val="CapitalListNumb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51B318C4"/>
    <w:multiLevelType w:val="hybridMultilevel"/>
    <w:tmpl w:val="9626C0D6"/>
    <w:lvl w:ilvl="0" w:tplc="5478D4BC">
      <w:start w:val="1"/>
      <w:numFmt w:val="lowerRoman"/>
      <w:pStyle w:val="RomanListNumb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190544">
    <w:abstractNumId w:val="1"/>
  </w:num>
  <w:num w:numId="2" w16cid:durableId="1776898736">
    <w:abstractNumId w:val="3"/>
  </w:num>
  <w:num w:numId="3" w16cid:durableId="223951550">
    <w:abstractNumId w:val="5"/>
  </w:num>
  <w:num w:numId="4" w16cid:durableId="601883165">
    <w:abstractNumId w:val="4"/>
  </w:num>
  <w:num w:numId="5" w16cid:durableId="1359818873">
    <w:abstractNumId w:val="4"/>
  </w:num>
  <w:num w:numId="6" w16cid:durableId="1412655412">
    <w:abstractNumId w:val="2"/>
  </w:num>
  <w:num w:numId="7" w16cid:durableId="1337150253">
    <w:abstractNumId w:val="7"/>
  </w:num>
  <w:num w:numId="8" w16cid:durableId="517735932">
    <w:abstractNumId w:val="6"/>
  </w:num>
  <w:num w:numId="9" w16cid:durableId="271938673">
    <w:abstractNumId w:val="0"/>
  </w:num>
  <w:num w:numId="10" w16cid:durableId="1979021688">
    <w:abstractNumId w:val="0"/>
  </w:num>
  <w:num w:numId="11" w16cid:durableId="820657372">
    <w:abstractNumId w:val="0"/>
  </w:num>
  <w:num w:numId="12" w16cid:durableId="1080983285">
    <w:abstractNumId w:val="0"/>
  </w:num>
  <w:num w:numId="13" w16cid:durableId="1688867464">
    <w:abstractNumId w:val="0"/>
  </w:num>
  <w:num w:numId="14" w16cid:durableId="514539184">
    <w:abstractNumId w:val="0"/>
  </w:num>
  <w:num w:numId="15" w16cid:durableId="34354652">
    <w:abstractNumId w:val="0"/>
  </w:num>
  <w:num w:numId="16" w16cid:durableId="157817967">
    <w:abstractNumId w:val="0"/>
  </w:num>
  <w:num w:numId="17" w16cid:durableId="2063359285">
    <w:abstractNumId w:val="0"/>
  </w:num>
  <w:num w:numId="18" w16cid:durableId="106000787">
    <w:abstractNumId w:val="0"/>
  </w:num>
  <w:num w:numId="19" w16cid:durableId="394935556">
    <w:abstractNumId w:val="0"/>
  </w:num>
  <w:num w:numId="20" w16cid:durableId="146245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7DC"/>
    <w:rsid w:val="000966F6"/>
    <w:rsid w:val="00096E22"/>
    <w:rsid w:val="000A230B"/>
    <w:rsid w:val="000A7D64"/>
    <w:rsid w:val="000B6AC5"/>
    <w:rsid w:val="000D3DC6"/>
    <w:rsid w:val="001603D1"/>
    <w:rsid w:val="0016405D"/>
    <w:rsid w:val="00182657"/>
    <w:rsid w:val="001A7CFF"/>
    <w:rsid w:val="001D5015"/>
    <w:rsid w:val="0027750E"/>
    <w:rsid w:val="00286BC0"/>
    <w:rsid w:val="002D6DB0"/>
    <w:rsid w:val="00315457"/>
    <w:rsid w:val="00344CDC"/>
    <w:rsid w:val="003A1535"/>
    <w:rsid w:val="00454D08"/>
    <w:rsid w:val="00494E42"/>
    <w:rsid w:val="004B730D"/>
    <w:rsid w:val="004C70E3"/>
    <w:rsid w:val="00521B33"/>
    <w:rsid w:val="00540FA2"/>
    <w:rsid w:val="00580E82"/>
    <w:rsid w:val="006A0AAB"/>
    <w:rsid w:val="006F0B25"/>
    <w:rsid w:val="006F7EF3"/>
    <w:rsid w:val="007427BD"/>
    <w:rsid w:val="007A766F"/>
    <w:rsid w:val="0080798A"/>
    <w:rsid w:val="00842902"/>
    <w:rsid w:val="00862771"/>
    <w:rsid w:val="008637DC"/>
    <w:rsid w:val="00891B7B"/>
    <w:rsid w:val="009906DE"/>
    <w:rsid w:val="00A64CE1"/>
    <w:rsid w:val="00A7329B"/>
    <w:rsid w:val="00A80FAF"/>
    <w:rsid w:val="00A96EF0"/>
    <w:rsid w:val="00BD1BFF"/>
    <w:rsid w:val="00C06891"/>
    <w:rsid w:val="00C1791A"/>
    <w:rsid w:val="00C23968"/>
    <w:rsid w:val="00C770BB"/>
    <w:rsid w:val="00CA246A"/>
    <w:rsid w:val="00CA5FD0"/>
    <w:rsid w:val="00CC12AF"/>
    <w:rsid w:val="00CF43E3"/>
    <w:rsid w:val="00D00E0C"/>
    <w:rsid w:val="00D0530C"/>
    <w:rsid w:val="00D92019"/>
    <w:rsid w:val="00DA11FE"/>
    <w:rsid w:val="00DF70EF"/>
    <w:rsid w:val="00DF780E"/>
    <w:rsid w:val="00EC74D7"/>
    <w:rsid w:val="00F1143F"/>
    <w:rsid w:val="00F645A4"/>
    <w:rsid w:val="00F728F3"/>
    <w:rsid w:val="00FC3D10"/>
    <w:rsid w:val="00FF520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175B3AF"/>
  <w15:docId w15:val="{3B973072-FF32-3542-9DDB-9BAA8B393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286BC0"/>
    <w:pPr>
      <w:snapToGrid w:val="0"/>
      <w:spacing w:after="180"/>
      <w:jc w:val="both"/>
    </w:pPr>
    <w:rPr>
      <w:rFonts w:ascii="Cambria" w:hAnsi="Cambria"/>
      <w:spacing w:val="-14"/>
      <w:sz w:val="28"/>
      <w:szCs w:val="28"/>
    </w:rPr>
  </w:style>
  <w:style w:type="paragraph" w:styleId="Heading1">
    <w:name w:val="heading 1"/>
    <w:basedOn w:val="Heading2"/>
    <w:uiPriority w:val="1"/>
    <w:qFormat/>
    <w:rsid w:val="00494E42"/>
    <w:pPr>
      <w:outlineLvl w:val="0"/>
    </w:pPr>
    <w:rPr>
      <w:sz w:val="48"/>
      <w:szCs w:val="48"/>
    </w:rPr>
  </w:style>
  <w:style w:type="paragraph" w:styleId="Heading2">
    <w:name w:val="heading 2"/>
    <w:basedOn w:val="Heading3"/>
    <w:uiPriority w:val="2"/>
    <w:qFormat/>
    <w:rsid w:val="00494E42"/>
    <w:pPr>
      <w:outlineLvl w:val="1"/>
    </w:pPr>
    <w:rPr>
      <w:sz w:val="40"/>
      <w:szCs w:val="40"/>
    </w:rPr>
  </w:style>
  <w:style w:type="paragraph" w:styleId="Heading3">
    <w:name w:val="heading 3"/>
    <w:basedOn w:val="Normal"/>
    <w:uiPriority w:val="3"/>
    <w:qFormat/>
    <w:rsid w:val="00494E42"/>
    <w:pPr>
      <w:jc w:val="center"/>
      <w:outlineLvl w:val="2"/>
    </w:pPr>
    <w:rPr>
      <w:rFonts w:ascii="HELVETICA NEUE CONDENSED" w:hAnsi="HELVETICA NEUE CONDENSED"/>
      <w:caps/>
      <w:color w:val="000000" w:themeColor="text1"/>
      <w:sz w:val="32"/>
      <w:szCs w:val="32"/>
    </w:rPr>
  </w:style>
  <w:style w:type="paragraph" w:styleId="Heading4">
    <w:name w:val="heading 4"/>
    <w:basedOn w:val="Heading3"/>
    <w:uiPriority w:val="4"/>
    <w:qFormat/>
    <w:rsid w:val="00494E42"/>
    <w:pPr>
      <w:jc w:val="left"/>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Gap">
    <w:name w:val="No Gap"/>
    <w:basedOn w:val="Normal"/>
    <w:uiPriority w:val="13"/>
    <w:qFormat/>
    <w:rsid w:val="00494E42"/>
    <w:pPr>
      <w:spacing w:after="0"/>
    </w:pPr>
  </w:style>
  <w:style w:type="paragraph" w:customStyle="1" w:styleId="Bulleting">
    <w:name w:val="Bulleting"/>
    <w:basedOn w:val="Normal"/>
    <w:uiPriority w:val="12"/>
    <w:qFormat/>
    <w:rsid w:val="00494E42"/>
    <w:pPr>
      <w:numPr>
        <w:numId w:val="1"/>
      </w:numPr>
      <w:tabs>
        <w:tab w:val="clear" w:pos="0"/>
      </w:tabs>
      <w:ind w:left="540" w:hanging="540"/>
    </w:pPr>
  </w:style>
  <w:style w:type="paragraph" w:styleId="ListNumber">
    <w:name w:val="List Number"/>
    <w:basedOn w:val="Normal"/>
    <w:uiPriority w:val="6"/>
    <w:qFormat/>
    <w:rsid w:val="008637DC"/>
    <w:pPr>
      <w:numPr>
        <w:numId w:val="5"/>
      </w:numPr>
      <w:ind w:left="540" w:hanging="540"/>
    </w:pPr>
  </w:style>
  <w:style w:type="paragraph" w:styleId="ListNumber2">
    <w:name w:val="List Number 2"/>
    <w:basedOn w:val="Normal"/>
    <w:uiPriority w:val="7"/>
    <w:qFormat/>
    <w:rsid w:val="008637DC"/>
    <w:pPr>
      <w:numPr>
        <w:ilvl w:val="1"/>
        <w:numId w:val="5"/>
      </w:numPr>
      <w:ind w:left="1080" w:hanging="540"/>
    </w:pPr>
  </w:style>
  <w:style w:type="paragraph" w:styleId="ListNumber3">
    <w:name w:val="List Number 3"/>
    <w:basedOn w:val="Normal"/>
    <w:uiPriority w:val="8"/>
    <w:qFormat/>
    <w:rsid w:val="008637DC"/>
    <w:pPr>
      <w:numPr>
        <w:ilvl w:val="2"/>
        <w:numId w:val="5"/>
      </w:numPr>
      <w:ind w:left="1800" w:hanging="720"/>
    </w:pPr>
  </w:style>
  <w:style w:type="paragraph" w:styleId="ListNumber4">
    <w:name w:val="List Number 4"/>
    <w:basedOn w:val="Normal"/>
    <w:uiPriority w:val="9"/>
    <w:qFormat/>
    <w:rsid w:val="008637DC"/>
    <w:pPr>
      <w:numPr>
        <w:ilvl w:val="3"/>
        <w:numId w:val="5"/>
      </w:numPr>
      <w:ind w:left="2700" w:hanging="900"/>
    </w:pPr>
  </w:style>
  <w:style w:type="paragraph" w:customStyle="1" w:styleId="LetteredListNumber">
    <w:name w:val="Lettered List Number"/>
    <w:basedOn w:val="ListNumber"/>
    <w:uiPriority w:val="10"/>
    <w:qFormat/>
    <w:rsid w:val="007A766F"/>
    <w:pPr>
      <w:numPr>
        <w:numId w:val="6"/>
      </w:numPr>
      <w:ind w:left="360"/>
    </w:pPr>
  </w:style>
  <w:style w:type="paragraph" w:customStyle="1" w:styleId="RomanListNumber">
    <w:name w:val="Roman List Number"/>
    <w:basedOn w:val="LetteredListNumber"/>
    <w:uiPriority w:val="11"/>
    <w:qFormat/>
    <w:rsid w:val="000A7D64"/>
    <w:pPr>
      <w:numPr>
        <w:numId w:val="7"/>
      </w:numPr>
      <w:ind w:left="360"/>
    </w:pPr>
  </w:style>
  <w:style w:type="paragraph" w:customStyle="1" w:styleId="Table">
    <w:name w:val="Table"/>
    <w:basedOn w:val="NoGap"/>
    <w:uiPriority w:val="14"/>
    <w:qFormat/>
    <w:rsid w:val="000966F6"/>
    <w:pPr>
      <w:jc w:val="left"/>
    </w:pPr>
  </w:style>
  <w:style w:type="paragraph" w:styleId="Footer">
    <w:name w:val="footer"/>
    <w:basedOn w:val="Normal"/>
    <w:link w:val="FooterChar"/>
    <w:uiPriority w:val="15"/>
    <w:unhideWhenUsed/>
    <w:rsid w:val="008A5BE7"/>
    <w:pPr>
      <w:tabs>
        <w:tab w:val="center" w:pos="4680"/>
        <w:tab w:val="right" w:pos="9360"/>
      </w:tabs>
      <w:spacing w:after="0"/>
      <w:jc w:val="center"/>
    </w:pPr>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character" w:styleId="Strong">
    <w:name w:val="Strong"/>
    <w:basedOn w:val="DefaultParagraphFont"/>
    <w:uiPriority w:val="22"/>
    <w:qFormat/>
    <w:rsid w:val="002F3658"/>
    <w:rPr>
      <w:b/>
      <w:bCs/>
    </w:rPr>
  </w:style>
  <w:style w:type="character" w:styleId="Emphasis">
    <w:name w:val="Emphasis"/>
    <w:basedOn w:val="DefaultParagraphFont"/>
    <w:uiPriority w:val="20"/>
    <w:qFormat/>
    <w:rsid w:val="002F3658"/>
    <w:rPr>
      <w:i/>
      <w:iCs/>
    </w:rPr>
  </w:style>
  <w:style w:type="character" w:customStyle="1" w:styleId="FooterChar">
    <w:name w:val="Footer Char"/>
    <w:basedOn w:val="DefaultParagraphFont"/>
    <w:link w:val="Footer"/>
    <w:uiPriority w:val="99"/>
    <w:qFormat/>
    <w:rsid w:val="008A5BE7"/>
    <w:rPr>
      <w:rFonts w:ascii="Cambria" w:hAnsi="Cambria"/>
      <w:spacing w:val="-14"/>
      <w:sz w:val="26"/>
    </w:rPr>
  </w:style>
  <w:style w:type="character" w:styleId="PageNumber">
    <w:name w:val="page number"/>
    <w:basedOn w:val="DefaultParagraphFont"/>
    <w:uiPriority w:val="99"/>
    <w:semiHidden/>
    <w:unhideWhenUsed/>
    <w:rsid w:val="00ED3635"/>
  </w:style>
  <w:style w:type="character" w:customStyle="1" w:styleId="FootnoteCharacters">
    <w:name w:val="Footnote Characters"/>
    <w:uiPriority w:val="99"/>
    <w:semiHidden/>
    <w:unhideWhenUsed/>
    <w:qFormat/>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TextChar">
    <w:name w:val="Endnote Text Char"/>
    <w:link w:val="EndnoteText"/>
    <w:uiPriority w:val="99"/>
    <w:semiHidden/>
    <w:unhideWhenUsed/>
    <w:qFormat/>
    <w:rPr>
      <w:sz w:val="20"/>
      <w:szCs w:val="20"/>
    </w:rPr>
  </w:style>
  <w:style w:type="table" w:styleId="TableGrid">
    <w:name w:val="Table Grid"/>
    <w:basedOn w:val="TableNormal"/>
    <w:uiPriority w:val="39"/>
    <w:rsid w:val="00B3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qFormat/>
    <w:rsid w:val="00361621"/>
  </w:style>
  <w:style w:type="numbering" w:customStyle="1" w:styleId="CurrentList2">
    <w:name w:val="Current List2"/>
    <w:uiPriority w:val="99"/>
    <w:qFormat/>
    <w:rsid w:val="00361621"/>
  </w:style>
  <w:style w:type="paragraph" w:customStyle="1" w:styleId="CapitalListNumber">
    <w:name w:val="Capital List Number"/>
    <w:basedOn w:val="RomanListNumber"/>
    <w:uiPriority w:val="5"/>
    <w:qFormat/>
    <w:rsid w:val="008637DC"/>
    <w:pPr>
      <w:numPr>
        <w:numId w:val="8"/>
      </w:numPr>
    </w:pPr>
  </w:style>
  <w:style w:type="paragraph" w:styleId="NormalWeb">
    <w:name w:val="Normal (Web)"/>
    <w:basedOn w:val="Normal"/>
    <w:uiPriority w:val="99"/>
    <w:semiHidden/>
    <w:unhideWhenUsed/>
    <w:rsid w:val="00CA246A"/>
    <w:pPr>
      <w:widowControl/>
      <w:snapToGrid/>
      <w:spacing w:before="100" w:beforeAutospacing="1" w:after="100" w:afterAutospacing="1"/>
      <w:jc w:val="left"/>
    </w:pPr>
    <w:rPr>
      <w:rFonts w:ascii="Times New Roman" w:hAnsi="Times New Roman"/>
      <w:spacing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1379</Words>
  <Characters>7863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 Madhavan</dc:creator>
  <dc:description/>
  <cp:lastModifiedBy>Anoop Madhavan</cp:lastModifiedBy>
  <cp:revision>5</cp:revision>
  <dcterms:created xsi:type="dcterms:W3CDTF">2026-06-29T16:32:00Z</dcterms:created>
  <dcterms:modified xsi:type="dcterms:W3CDTF">2026-06-30T11:50:00Z</dcterms:modified>
  <dc:language>en-US</dc:language>
</cp:coreProperties>
</file>