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MasterDesk — бизнес-кейс</w:t>
      </w:r>
    </w:p>
    <w:p>
      <w:pPr>
        <w:pStyle w:val="Subtitle"/>
      </w:pPr>
      <w:r>
        <w:rPr>
          <w:rFonts w:ascii="Times New Roman" w:hAnsi="Times New Roman"/>
          <w:color w:val="596773"/>
          <w:sz w:val="20"/>
        </w:rPr>
        <w:t>TechPoint сервис орталығы  |  20.10.2026  |  Бастапқы қаржылық негіздеме</w:t>
      </w:r>
    </w:p>
    <w:p>
      <w:pPr>
        <w:pStyle w:val="Heading1"/>
      </w:pPr>
      <w:r>
        <w:t>1. Жоба және мәселе</w:t>
      </w:r>
    </w:p>
    <w:p>
      <w:r>
        <w:t>MasterDesk — TechPoint сервис орталығындағы техника жөндеу тапсырыстарын тіркеу, шеберге бөлу, мәртебесін бақылау және іздеу үшін ұсынылған веб-жүйе. Тапсырыс берушінің белгілі өкілі — Байкенов Оспан. Оның атынан талаптар немесе бюджет ресми мақұлданды деп есептелмейді.</w:t>
      </w:r>
    </w:p>
    <w:p>
      <w:r>
        <w:t>Қазіргі жұмыс Excel, қағаз журнал немесе мессенджер арқылы жүргізілуі мүмкін деген мәселе гипотеза ретінде алынған. Шығынды салыстыру үшін шағын жөндеу шеберханасының есептік моделі құрылды. Бұл бөлімдегі 260 тапсырыс/ай және 18 минут/тапсырыс — TechPoint-те өлшенген нақты статистика емес.</w:t>
      </w:r>
    </w:p>
    <w:p>
      <w:pPr>
        <w:pStyle w:val="Heading1"/>
      </w:pPr>
      <w:r>
        <w:t>2. Бастапқы жағдай және мақсат</w:t>
      </w:r>
    </w:p>
    <w:tbl>
      <w:tblPr>
        <w:tblStyle w:val="TableGrid"/>
        <w:tblW w:type="auto" w:w="0"/>
        <w:jc w:val="center"/>
        <w:tblLook w:firstColumn="1" w:firstRow="1" w:lastColumn="0" w:lastRow="0" w:noHBand="0" w:noVBand="1" w:val="04A0"/>
      </w:tblPr>
      <w:tblGrid>
        <w:gridCol w:w="2535"/>
        <w:gridCol w:w="2535"/>
        <w:gridCol w:w="2535"/>
        <w:gridCol w:w="2535"/>
      </w:tblGrid>
      <w:tr>
        <w:tc>
          <w:tcPr>
            <w:tcW w:type="dxa" w:w="2535"/>
            <w:vAlign w:val="center"/>
            <w:shd w:fill="17364A"/>
          </w:tcPr>
          <w:p>
            <w:pPr>
              <w:spacing w:after="20"/>
            </w:pPr>
            <w:r>
              <w:rPr>
                <w:rFonts w:ascii="Times New Roman" w:hAnsi="Times New Roman"/>
                <w:b/>
                <w:color w:val="FFFFFF"/>
                <w:sz w:val="18"/>
              </w:rPr>
              <w:t>Көрсеткіш</w:t>
            </w:r>
          </w:p>
        </w:tc>
        <w:tc>
          <w:tcPr>
            <w:tcW w:type="dxa" w:w="2535"/>
            <w:vAlign w:val="center"/>
            <w:shd w:fill="17364A"/>
          </w:tcPr>
          <w:p>
            <w:pPr>
              <w:spacing w:after="20"/>
            </w:pPr>
            <w:r>
              <w:rPr>
                <w:rFonts w:ascii="Times New Roman" w:hAnsi="Times New Roman"/>
                <w:b/>
                <w:color w:val="FFFFFF"/>
                <w:sz w:val="18"/>
              </w:rPr>
              <w:t>Бастапқы болжам</w:t>
            </w:r>
          </w:p>
        </w:tc>
        <w:tc>
          <w:tcPr>
            <w:tcW w:type="dxa" w:w="2535"/>
            <w:vAlign w:val="center"/>
            <w:shd w:fill="17364A"/>
          </w:tcPr>
          <w:p>
            <w:pPr>
              <w:spacing w:after="20"/>
            </w:pPr>
            <w:r>
              <w:rPr>
                <w:rFonts w:ascii="Times New Roman" w:hAnsi="Times New Roman"/>
                <w:b/>
                <w:color w:val="FFFFFF"/>
                <w:sz w:val="18"/>
              </w:rPr>
              <w:t>Мақсатты мән</w:t>
            </w:r>
          </w:p>
        </w:tc>
        <w:tc>
          <w:tcPr>
            <w:tcW w:type="dxa" w:w="2535"/>
            <w:vAlign w:val="center"/>
            <w:shd w:fill="17364A"/>
          </w:tcPr>
          <w:p>
            <w:pPr>
              <w:spacing w:after="20"/>
            </w:pPr>
            <w:r>
              <w:rPr>
                <w:rFonts w:ascii="Times New Roman" w:hAnsi="Times New Roman"/>
                <w:b/>
                <w:color w:val="FFFFFF"/>
                <w:sz w:val="18"/>
              </w:rPr>
              <w:t>Тексеру</w:t>
            </w:r>
          </w:p>
        </w:tc>
      </w:tr>
      <w:tr>
        <w:tc>
          <w:tcPr>
            <w:tcW w:type="dxa" w:w="2535"/>
            <w:vAlign w:val="center"/>
          </w:tcPr>
          <w:p>
            <w:pPr>
              <w:spacing w:after="20"/>
            </w:pPr>
            <w:r>
              <w:rPr>
                <w:rFonts w:ascii="Times New Roman" w:hAnsi="Times New Roman"/>
                <w:sz w:val="18"/>
              </w:rPr>
              <w:t>Тапсырыс саны</w:t>
            </w:r>
          </w:p>
        </w:tc>
        <w:tc>
          <w:tcPr>
            <w:tcW w:type="dxa" w:w="2535"/>
            <w:vAlign w:val="center"/>
          </w:tcPr>
          <w:p>
            <w:pPr>
              <w:spacing w:after="20"/>
            </w:pPr>
            <w:r>
              <w:rPr>
                <w:rFonts w:ascii="Times New Roman" w:hAnsi="Times New Roman"/>
                <w:sz w:val="18"/>
              </w:rPr>
              <w:t>260/ай (~10/күн)</w:t>
            </w:r>
          </w:p>
        </w:tc>
        <w:tc>
          <w:tcPr>
            <w:tcW w:type="dxa" w:w="2535"/>
            <w:vAlign w:val="center"/>
          </w:tcPr>
          <w:p>
            <w:pPr>
              <w:spacing w:after="20"/>
            </w:pPr>
            <w:r>
              <w:rPr>
                <w:rFonts w:ascii="Times New Roman" w:hAnsi="Times New Roman"/>
                <w:sz w:val="18"/>
              </w:rPr>
              <w:t>Өзгермейді</w:t>
            </w:r>
          </w:p>
        </w:tc>
        <w:tc>
          <w:tcPr>
            <w:tcW w:type="dxa" w:w="2535"/>
            <w:vAlign w:val="center"/>
          </w:tcPr>
          <w:p>
            <w:pPr>
              <w:spacing w:after="20"/>
            </w:pPr>
            <w:r>
              <w:rPr>
                <w:rFonts w:ascii="Times New Roman" w:hAnsi="Times New Roman"/>
                <w:sz w:val="18"/>
              </w:rPr>
              <w:t>Сервис журналынан бір апталық санау</w:t>
            </w:r>
          </w:p>
        </w:tc>
      </w:tr>
      <w:tr>
        <w:tc>
          <w:tcPr>
            <w:tcW w:type="dxa" w:w="2535"/>
            <w:vAlign w:val="center"/>
            <w:shd w:fill="EAF2F5"/>
          </w:tcPr>
          <w:p>
            <w:pPr>
              <w:spacing w:after="20"/>
            </w:pPr>
            <w:r>
              <w:rPr>
                <w:rFonts w:ascii="Times New Roman" w:hAnsi="Times New Roman"/>
                <w:sz w:val="18"/>
              </w:rPr>
              <w:t>Бір тапсырысты өңдеу</w:t>
            </w:r>
          </w:p>
        </w:tc>
        <w:tc>
          <w:tcPr>
            <w:tcW w:type="dxa" w:w="2535"/>
            <w:vAlign w:val="center"/>
            <w:shd w:fill="EAF2F5"/>
          </w:tcPr>
          <w:p>
            <w:pPr>
              <w:spacing w:after="20"/>
            </w:pPr>
            <w:r>
              <w:rPr>
                <w:rFonts w:ascii="Times New Roman" w:hAnsi="Times New Roman"/>
                <w:sz w:val="18"/>
              </w:rPr>
              <w:t>18 минут</w:t>
            </w:r>
          </w:p>
        </w:tc>
        <w:tc>
          <w:tcPr>
            <w:tcW w:type="dxa" w:w="2535"/>
            <w:vAlign w:val="center"/>
            <w:shd w:fill="EAF2F5"/>
          </w:tcPr>
          <w:p>
            <w:pPr>
              <w:spacing w:after="20"/>
            </w:pPr>
            <w:r>
              <w:rPr>
                <w:rFonts w:ascii="Times New Roman" w:hAnsi="Times New Roman"/>
                <w:sz w:val="18"/>
              </w:rPr>
              <w:t>7 минут</w:t>
            </w:r>
          </w:p>
        </w:tc>
        <w:tc>
          <w:tcPr>
            <w:tcW w:type="dxa" w:w="2535"/>
            <w:vAlign w:val="center"/>
            <w:shd w:fill="EAF2F5"/>
          </w:tcPr>
          <w:p>
            <w:pPr>
              <w:spacing w:after="20"/>
            </w:pPr>
            <w:r>
              <w:rPr>
                <w:rFonts w:ascii="Times New Roman" w:hAnsi="Times New Roman"/>
                <w:sz w:val="18"/>
              </w:rPr>
              <w:t>10–20 тапсырысқа уақыт өлшеу</w:t>
            </w:r>
          </w:p>
        </w:tc>
      </w:tr>
      <w:tr>
        <w:tc>
          <w:tcPr>
            <w:tcW w:type="dxa" w:w="2535"/>
            <w:vAlign w:val="center"/>
          </w:tcPr>
          <w:p>
            <w:pPr>
              <w:spacing w:after="20"/>
            </w:pPr>
            <w:r>
              <w:rPr>
                <w:rFonts w:ascii="Times New Roman" w:hAnsi="Times New Roman"/>
                <w:sz w:val="18"/>
              </w:rPr>
              <w:t>Қызметкер айлығы</w:t>
            </w:r>
          </w:p>
        </w:tc>
        <w:tc>
          <w:tcPr>
            <w:tcW w:type="dxa" w:w="2535"/>
            <w:vAlign w:val="center"/>
          </w:tcPr>
          <w:p>
            <w:pPr>
              <w:spacing w:after="20"/>
            </w:pPr>
            <w:r>
              <w:rPr>
                <w:rFonts w:ascii="Times New Roman" w:hAnsi="Times New Roman"/>
                <w:sz w:val="18"/>
              </w:rPr>
              <w:t>300 000 ₸/ай</w:t>
            </w:r>
          </w:p>
        </w:tc>
        <w:tc>
          <w:tcPr>
            <w:tcW w:type="dxa" w:w="2535"/>
            <w:vAlign w:val="center"/>
          </w:tcPr>
          <w:p>
            <w:pPr>
              <w:spacing w:after="20"/>
            </w:pPr>
            <w:r>
              <w:rPr>
                <w:rFonts w:ascii="Times New Roman" w:hAnsi="Times New Roman"/>
                <w:sz w:val="18"/>
              </w:rPr>
              <w:t>Есептеу базасы</w:t>
            </w:r>
          </w:p>
        </w:tc>
        <w:tc>
          <w:tcPr>
            <w:tcW w:type="dxa" w:w="2535"/>
            <w:vAlign w:val="center"/>
          </w:tcPr>
          <w:p>
            <w:pPr>
              <w:spacing w:after="20"/>
            </w:pPr>
            <w:r>
              <w:rPr>
                <w:rFonts w:ascii="Times New Roman" w:hAnsi="Times New Roman"/>
                <w:sz w:val="18"/>
              </w:rPr>
              <w:t>TechPoint қаржы есебі</w:t>
            </w:r>
          </w:p>
        </w:tc>
      </w:tr>
      <w:tr>
        <w:tc>
          <w:tcPr>
            <w:tcW w:type="dxa" w:w="2535"/>
            <w:vAlign w:val="center"/>
            <w:shd w:fill="EAF2F5"/>
          </w:tcPr>
          <w:p>
            <w:pPr>
              <w:spacing w:after="20"/>
            </w:pPr>
            <w:r>
              <w:rPr>
                <w:rFonts w:ascii="Times New Roman" w:hAnsi="Times New Roman"/>
                <w:sz w:val="18"/>
              </w:rPr>
              <w:t>Кезең</w:t>
            </w:r>
          </w:p>
        </w:tc>
        <w:tc>
          <w:tcPr>
            <w:tcW w:type="dxa" w:w="2535"/>
            <w:vAlign w:val="center"/>
            <w:shd w:fill="EAF2F5"/>
          </w:tcPr>
          <w:p>
            <w:pPr>
              <w:spacing w:after="20"/>
            </w:pPr>
            <w:r>
              <w:rPr>
                <w:rFonts w:ascii="Times New Roman" w:hAnsi="Times New Roman"/>
                <w:sz w:val="18"/>
              </w:rPr>
              <w:t>2027–2029</w:t>
            </w:r>
          </w:p>
        </w:tc>
        <w:tc>
          <w:tcPr>
            <w:tcW w:type="dxa" w:w="2535"/>
            <w:vAlign w:val="center"/>
            <w:shd w:fill="EAF2F5"/>
          </w:tcPr>
          <w:p>
            <w:pPr>
              <w:spacing w:after="20"/>
            </w:pPr>
            <w:r>
              <w:rPr>
                <w:rFonts w:ascii="Times New Roman" w:hAnsi="Times New Roman"/>
                <w:sz w:val="18"/>
              </w:rPr>
              <w:t>3 жыл</w:t>
            </w:r>
          </w:p>
        </w:tc>
        <w:tc>
          <w:tcPr>
            <w:tcW w:type="dxa" w:w="2535"/>
            <w:vAlign w:val="center"/>
            <w:shd w:fill="EAF2F5"/>
          </w:tcPr>
          <w:p>
            <w:pPr>
              <w:spacing w:after="20"/>
            </w:pPr>
            <w:r>
              <w:rPr>
                <w:rFonts w:ascii="Times New Roman" w:hAnsi="Times New Roman"/>
                <w:sz w:val="18"/>
              </w:rPr>
              <w:t>Тапсырыс берушімен кейін келісу</w:t>
            </w:r>
          </w:p>
        </w:tc>
      </w:tr>
    </w:tbl>
    <w:p>
      <w:r>
        <w:t>Тексерілетін мақсат: пилот басталғаннан кейінгі алғашқы 30 күн ішінде тапсырысты өңдеудің орташа уақытын есептік 18 минуттан 7 минутқа дейін қысқарту. Әр тапсырыста жауапты шебер мен ағымдағы статус көрсетілуі тиіс. Бұл мақсат — ұсыныс, бекітілген KPI емес.</w:t>
      </w:r>
    </w:p>
    <w:p>
      <w:pPr>
        <w:pStyle w:val="Heading1"/>
      </w:pPr>
      <w:r>
        <w:t>3. Төрт балама</w:t>
      </w:r>
    </w:p>
    <w:tbl>
      <w:tblPr>
        <w:tblStyle w:val="TableGrid"/>
        <w:tblW w:type="auto" w:w="0"/>
        <w:jc w:val="center"/>
        <w:tblLook w:firstColumn="1" w:firstRow="1" w:lastColumn="0" w:lastRow="0" w:noHBand="0" w:noVBand="1" w:val="04A0"/>
      </w:tblPr>
      <w:tblGrid>
        <w:gridCol w:w="3381"/>
        <w:gridCol w:w="3381"/>
        <w:gridCol w:w="3381"/>
      </w:tblGrid>
      <w:tr>
        <w:tc>
          <w:tcPr>
            <w:tcW w:type="dxa" w:w="3381"/>
            <w:vAlign w:val="center"/>
            <w:shd w:fill="17364A"/>
          </w:tcPr>
          <w:p>
            <w:pPr>
              <w:spacing w:after="20"/>
            </w:pPr>
            <w:r>
              <w:rPr>
                <w:rFonts w:ascii="Times New Roman" w:hAnsi="Times New Roman"/>
                <w:b/>
                <w:color w:val="FFFFFF"/>
                <w:sz w:val="18"/>
              </w:rPr>
              <w:t>Балама</w:t>
            </w:r>
          </w:p>
        </w:tc>
        <w:tc>
          <w:tcPr>
            <w:tcW w:type="dxa" w:w="3381"/>
            <w:vAlign w:val="center"/>
            <w:shd w:fill="17364A"/>
          </w:tcPr>
          <w:p>
            <w:pPr>
              <w:spacing w:after="20"/>
            </w:pPr>
            <w:r>
              <w:rPr>
                <w:rFonts w:ascii="Times New Roman" w:hAnsi="Times New Roman"/>
                <w:b/>
                <w:color w:val="FFFFFF"/>
                <w:sz w:val="18"/>
              </w:rPr>
              <w:t>Артықшылық</w:t>
            </w:r>
          </w:p>
        </w:tc>
        <w:tc>
          <w:tcPr>
            <w:tcW w:type="dxa" w:w="3381"/>
            <w:vAlign w:val="center"/>
            <w:shd w:fill="17364A"/>
          </w:tcPr>
          <w:p>
            <w:pPr>
              <w:spacing w:after="20"/>
            </w:pPr>
            <w:r>
              <w:rPr>
                <w:rFonts w:ascii="Times New Roman" w:hAnsi="Times New Roman"/>
                <w:b/>
                <w:color w:val="FFFFFF"/>
                <w:sz w:val="18"/>
              </w:rPr>
              <w:t>Шектеу</w:t>
            </w:r>
          </w:p>
        </w:tc>
      </w:tr>
      <w:tr>
        <w:tc>
          <w:tcPr>
            <w:tcW w:type="dxa" w:w="3381"/>
            <w:vAlign w:val="center"/>
          </w:tcPr>
          <w:p>
            <w:pPr>
              <w:spacing w:after="20"/>
            </w:pPr>
            <w:r>
              <w:rPr>
                <w:rFonts w:ascii="Times New Roman" w:hAnsi="Times New Roman"/>
                <w:sz w:val="18"/>
              </w:rPr>
              <w:t>0. Ештеңе өзгертпеу</w:t>
            </w:r>
          </w:p>
        </w:tc>
        <w:tc>
          <w:tcPr>
            <w:tcW w:type="dxa" w:w="3381"/>
            <w:vAlign w:val="center"/>
          </w:tcPr>
          <w:p>
            <w:pPr>
              <w:spacing w:after="20"/>
            </w:pPr>
            <w:r>
              <w:rPr>
                <w:rFonts w:ascii="Times New Roman" w:hAnsi="Times New Roman"/>
                <w:sz w:val="18"/>
              </w:rPr>
              <w:t>Жаңа ақша жұмсалмайды</w:t>
            </w:r>
          </w:p>
        </w:tc>
        <w:tc>
          <w:tcPr>
            <w:tcW w:type="dxa" w:w="3381"/>
            <w:vAlign w:val="center"/>
          </w:tcPr>
          <w:p>
            <w:pPr>
              <w:spacing w:after="20"/>
            </w:pPr>
            <w:r>
              <w:rPr>
                <w:rFonts w:ascii="Times New Roman" w:hAnsi="Times New Roman"/>
                <w:sz w:val="18"/>
              </w:rPr>
              <w:t>Уақыт шығыны сақталады, іздеу мен бақылау қолмен қалады</w:t>
            </w:r>
          </w:p>
        </w:tc>
      </w:tr>
      <w:tr>
        <w:tc>
          <w:tcPr>
            <w:tcW w:type="dxa" w:w="3381"/>
            <w:vAlign w:val="center"/>
            <w:shd w:fill="EAF2F5"/>
          </w:tcPr>
          <w:p>
            <w:pPr>
              <w:spacing w:after="20"/>
            </w:pPr>
            <w:r>
              <w:rPr>
                <w:rFonts w:ascii="Times New Roman" w:hAnsi="Times New Roman"/>
                <w:sz w:val="18"/>
              </w:rPr>
              <w:t>1. Excel / Google Sheets</w:t>
            </w:r>
          </w:p>
        </w:tc>
        <w:tc>
          <w:tcPr>
            <w:tcW w:type="dxa" w:w="3381"/>
            <w:vAlign w:val="center"/>
            <w:shd w:fill="EAF2F5"/>
          </w:tcPr>
          <w:p>
            <w:pPr>
              <w:spacing w:after="20"/>
            </w:pPr>
            <w:r>
              <w:rPr>
                <w:rFonts w:ascii="Times New Roman" w:hAnsi="Times New Roman"/>
                <w:sz w:val="18"/>
              </w:rPr>
              <w:t>Тез іске қосылады, арзан</w:t>
            </w:r>
          </w:p>
        </w:tc>
        <w:tc>
          <w:tcPr>
            <w:tcW w:type="dxa" w:w="3381"/>
            <w:vAlign w:val="center"/>
            <w:shd w:fill="EAF2F5"/>
          </w:tcPr>
          <w:p>
            <w:pPr>
              <w:spacing w:after="20"/>
            </w:pPr>
            <w:r>
              <w:rPr>
                <w:rFonts w:ascii="Times New Roman" w:hAnsi="Times New Roman"/>
                <w:sz w:val="18"/>
              </w:rPr>
              <w:t>Рөлдер, аудит, статустар мен бірлескен өзгерістер шектеулі</w:t>
            </w:r>
          </w:p>
        </w:tc>
      </w:tr>
      <w:tr>
        <w:tc>
          <w:tcPr>
            <w:tcW w:type="dxa" w:w="3381"/>
            <w:vAlign w:val="center"/>
          </w:tcPr>
          <w:p>
            <w:pPr>
              <w:spacing w:after="20"/>
            </w:pPr>
            <w:r>
              <w:rPr>
                <w:rFonts w:ascii="Times New Roman" w:hAnsi="Times New Roman"/>
                <w:sz w:val="18"/>
              </w:rPr>
              <w:t>2. RO App дайын SaaS</w:t>
            </w:r>
          </w:p>
        </w:tc>
        <w:tc>
          <w:tcPr>
            <w:tcW w:type="dxa" w:w="3381"/>
            <w:vAlign w:val="center"/>
          </w:tcPr>
          <w:p>
            <w:pPr>
              <w:spacing w:after="20"/>
            </w:pPr>
            <w:r>
              <w:rPr>
                <w:rFonts w:ascii="Times New Roman" w:hAnsi="Times New Roman"/>
                <w:sz w:val="18"/>
              </w:rPr>
              <w:t>Жөндеу тапсырыстарын жүргізуге дайын мүмкіндік бар</w:t>
            </w:r>
          </w:p>
        </w:tc>
        <w:tc>
          <w:tcPr>
            <w:tcW w:type="dxa" w:w="3381"/>
            <w:vAlign w:val="center"/>
          </w:tcPr>
          <w:p>
            <w:pPr>
              <w:spacing w:after="20"/>
            </w:pPr>
            <w:r>
              <w:rPr>
                <w:rFonts w:ascii="Times New Roman" w:hAnsi="Times New Roman"/>
                <w:sz w:val="18"/>
              </w:rPr>
              <w:t>Ай сайынғы төлем, деректер мен бейімдеу шартын нақтылау керек</w:t>
            </w:r>
          </w:p>
        </w:tc>
      </w:tr>
      <w:tr>
        <w:tc>
          <w:tcPr>
            <w:tcW w:type="dxa" w:w="3381"/>
            <w:vAlign w:val="center"/>
            <w:shd w:fill="EAF2F5"/>
          </w:tcPr>
          <w:p>
            <w:pPr>
              <w:spacing w:after="20"/>
            </w:pPr>
            <w:r>
              <w:rPr>
                <w:rFonts w:ascii="Times New Roman" w:hAnsi="Times New Roman"/>
                <w:sz w:val="18"/>
              </w:rPr>
              <w:t>3. MasterDesk (open-source стек)</w:t>
            </w:r>
          </w:p>
        </w:tc>
        <w:tc>
          <w:tcPr>
            <w:tcW w:type="dxa" w:w="3381"/>
            <w:vAlign w:val="center"/>
            <w:shd w:fill="EAF2F5"/>
          </w:tcPr>
          <w:p>
            <w:pPr>
              <w:spacing w:after="20"/>
            </w:pPr>
            <w:r>
              <w:rPr>
                <w:rFonts w:ascii="Times New Roman" w:hAnsi="Times New Roman"/>
                <w:sz w:val="18"/>
              </w:rPr>
              <w:t>Жұмыс процесін өз қажеттілігіне сәйкестендіру, кодқа бақылау</w:t>
            </w:r>
          </w:p>
        </w:tc>
        <w:tc>
          <w:tcPr>
            <w:tcW w:type="dxa" w:w="3381"/>
            <w:vAlign w:val="center"/>
            <w:shd w:fill="EAF2F5"/>
          </w:tcPr>
          <w:p>
            <w:pPr>
              <w:spacing w:after="20"/>
            </w:pPr>
            <w:r>
              <w:rPr>
                <w:rFonts w:ascii="Times New Roman" w:hAnsi="Times New Roman"/>
                <w:sz w:val="18"/>
              </w:rPr>
              <w:t>Әзірлеу, сервер және кейінгі қолдауға жауап беру қажет</w:t>
            </w:r>
          </w:p>
        </w:tc>
      </w:tr>
    </w:tbl>
    <w:p>
      <w:r>
        <w:t>Салыстырудың сыртқы мысалы — RO App All-in-One: 29 €/ай, оның ішінде 3 қызметкер; қосымша қызметкер — 7 €/ай. Бес пайдаланушы үшін есепте 43 €/ай қолданылды (29 + 2 × 7). Ағымдағы валюта бағамы — 507,67 ₸/€, 20.10.2026. Бағалар, салық және келісімшарт шарттары сатып алу алдында қайта нақтыланады.</w:t>
      </w:r>
    </w:p>
    <w:p>
      <w:pPr>
        <w:pStyle w:val="Heading1"/>
      </w:pPr>
      <w:r>
        <w:t>4. Құн мен күтілетін әсер</w:t>
      </w:r>
    </w:p>
    <w:p>
      <w:r>
        <w:t>Есептеу тәсілі: сағаттық толық жүктелген еңбек құны = 300 000 / 168 × 1,12 = 2 000 ₸/сағат. Үнемделген уақыттың 80%-ы ғана нақты жұмысқа қайта жұмсалады деп алынды. Демек, бұл тікелей жалақы қысқаруы емес, босайтын жұмыс уақытының ақшалай бағасы.</w:t>
      </w:r>
    </w:p>
    <w:p>
      <w:r>
        <w:t>MasterDesk бойынша: (18 − 7) × 260 / 60 = 47,7 сағат/ай босайды; есептік пайда = 47,7 × 2 000 × 80% × 12 = 915 200 ₸/жыл. Бірінші жылы іске үйренуге байланысты әсердің 75%-ы есептелген. «Ештеңе істемеу» нұсқасының жылдық мүмкіндік шығыны осы 915 200 ₸ әлеуетті әсерге тең, бірақ бұл бухгалтерлік залал емес.</w:t>
      </w:r>
    </w:p>
    <w:tbl>
      <w:tblPr>
        <w:tblStyle w:val="TableGrid"/>
        <w:tblW w:type="auto" w:w="0"/>
        <w:jc w:val="center"/>
        <w:tblLook w:firstColumn="1" w:firstRow="1" w:lastColumn="0" w:lastRow="0" w:noHBand="0" w:noVBand="1" w:val="04A0"/>
      </w:tblPr>
      <w:tblGrid>
        <w:gridCol w:w="2028"/>
        <w:gridCol w:w="2028"/>
        <w:gridCol w:w="2028"/>
        <w:gridCol w:w="2028"/>
        <w:gridCol w:w="2028"/>
      </w:tblGrid>
      <w:tr>
        <w:tc>
          <w:tcPr>
            <w:tcW w:type="dxa" w:w="2028"/>
            <w:vAlign w:val="center"/>
            <w:shd w:fill="17364A"/>
          </w:tcPr>
          <w:p>
            <w:pPr>
              <w:spacing w:after="20"/>
            </w:pPr>
            <w:r>
              <w:rPr>
                <w:rFonts w:ascii="Times New Roman" w:hAnsi="Times New Roman"/>
                <w:b/>
                <w:color w:val="FFFFFF"/>
                <w:sz w:val="18"/>
              </w:rPr>
              <w:t>Шешім</w:t>
            </w:r>
          </w:p>
        </w:tc>
        <w:tc>
          <w:tcPr>
            <w:tcW w:type="dxa" w:w="2028"/>
            <w:vAlign w:val="center"/>
            <w:shd w:fill="17364A"/>
          </w:tcPr>
          <w:p>
            <w:pPr>
              <w:spacing w:after="20"/>
            </w:pPr>
            <w:r>
              <w:rPr>
                <w:rFonts w:ascii="Times New Roman" w:hAnsi="Times New Roman"/>
                <w:b/>
                <w:color w:val="FFFFFF"/>
                <w:sz w:val="18"/>
              </w:rPr>
              <w:t>3 жыл TCO</w:t>
            </w:r>
          </w:p>
        </w:tc>
        <w:tc>
          <w:tcPr>
            <w:tcW w:type="dxa" w:w="2028"/>
            <w:vAlign w:val="center"/>
            <w:shd w:fill="17364A"/>
          </w:tcPr>
          <w:p>
            <w:pPr>
              <w:spacing w:after="20"/>
            </w:pPr>
            <w:r>
              <w:rPr>
                <w:rFonts w:ascii="Times New Roman" w:hAnsi="Times New Roman"/>
                <w:b/>
                <w:color w:val="FFFFFF"/>
                <w:sz w:val="18"/>
              </w:rPr>
              <w:t>3 жыл пайда</w:t>
            </w:r>
          </w:p>
        </w:tc>
        <w:tc>
          <w:tcPr>
            <w:tcW w:type="dxa" w:w="2028"/>
            <w:vAlign w:val="center"/>
            <w:shd w:fill="17364A"/>
          </w:tcPr>
          <w:p>
            <w:pPr>
              <w:spacing w:after="20"/>
            </w:pPr>
            <w:r>
              <w:rPr>
                <w:rFonts w:ascii="Times New Roman" w:hAnsi="Times New Roman"/>
                <w:b/>
                <w:color w:val="FFFFFF"/>
                <w:sz w:val="18"/>
              </w:rPr>
              <w:t>ROI</w:t>
            </w:r>
          </w:p>
        </w:tc>
        <w:tc>
          <w:tcPr>
            <w:tcW w:type="dxa" w:w="2028"/>
            <w:vAlign w:val="center"/>
            <w:shd w:fill="17364A"/>
          </w:tcPr>
          <w:p>
            <w:pPr>
              <w:spacing w:after="20"/>
            </w:pPr>
            <w:r>
              <w:rPr>
                <w:rFonts w:ascii="Times New Roman" w:hAnsi="Times New Roman"/>
                <w:b/>
                <w:color w:val="FFFFFF"/>
                <w:sz w:val="18"/>
              </w:rPr>
              <w:t>NPV (15%)</w:t>
            </w:r>
          </w:p>
        </w:tc>
      </w:tr>
      <w:tr>
        <w:tc>
          <w:tcPr>
            <w:tcW w:type="dxa" w:w="2028"/>
            <w:vAlign w:val="center"/>
          </w:tcPr>
          <w:p>
            <w:pPr>
              <w:spacing w:after="20"/>
            </w:pPr>
            <w:r>
              <w:rPr>
                <w:rFonts w:ascii="Times New Roman" w:hAnsi="Times New Roman"/>
                <w:sz w:val="18"/>
              </w:rPr>
              <w:t>Ештеңе өзгертпеу</w:t>
            </w:r>
          </w:p>
        </w:tc>
        <w:tc>
          <w:tcPr>
            <w:tcW w:type="dxa" w:w="2028"/>
            <w:vAlign w:val="center"/>
          </w:tcPr>
          <w:p>
            <w:pPr>
              <w:spacing w:after="20"/>
            </w:pPr>
            <w:r>
              <w:rPr>
                <w:rFonts w:ascii="Times New Roman" w:hAnsi="Times New Roman"/>
                <w:sz w:val="18"/>
              </w:rPr>
              <w:t>0 ₸</w:t>
            </w:r>
          </w:p>
        </w:tc>
        <w:tc>
          <w:tcPr>
            <w:tcW w:type="dxa" w:w="2028"/>
            <w:vAlign w:val="center"/>
          </w:tcPr>
          <w:p>
            <w:pPr>
              <w:spacing w:after="20"/>
            </w:pPr>
            <w:r>
              <w:rPr>
                <w:rFonts w:ascii="Times New Roman" w:hAnsi="Times New Roman"/>
                <w:sz w:val="18"/>
              </w:rPr>
              <w:t>0 ₸</w:t>
            </w:r>
          </w:p>
        </w:tc>
        <w:tc>
          <w:tcPr>
            <w:tcW w:type="dxa" w:w="2028"/>
            <w:vAlign w:val="center"/>
          </w:tcPr>
          <w:p>
            <w:pPr>
              <w:spacing w:after="20"/>
            </w:pPr>
            <w:r>
              <w:rPr>
                <w:rFonts w:ascii="Times New Roman" w:hAnsi="Times New Roman"/>
                <w:sz w:val="18"/>
              </w:rPr>
              <w:t>—</w:t>
            </w:r>
          </w:p>
        </w:tc>
        <w:tc>
          <w:tcPr>
            <w:tcW w:type="dxa" w:w="2028"/>
            <w:vAlign w:val="center"/>
          </w:tcPr>
          <w:p>
            <w:pPr>
              <w:spacing w:after="20"/>
            </w:pPr>
            <w:r>
              <w:rPr>
                <w:rFonts w:ascii="Times New Roman" w:hAnsi="Times New Roman"/>
                <w:sz w:val="18"/>
              </w:rPr>
              <w:t>0 ₸</w:t>
            </w:r>
          </w:p>
        </w:tc>
      </w:tr>
      <w:tr>
        <w:tc>
          <w:tcPr>
            <w:tcW w:type="dxa" w:w="2028"/>
            <w:vAlign w:val="center"/>
            <w:shd w:fill="EAF2F5"/>
          </w:tcPr>
          <w:p>
            <w:pPr>
              <w:spacing w:after="20"/>
            </w:pPr>
            <w:r>
              <w:rPr>
                <w:rFonts w:ascii="Times New Roman" w:hAnsi="Times New Roman"/>
                <w:sz w:val="18"/>
              </w:rPr>
              <w:t>Excel/Sheets</w:t>
            </w:r>
          </w:p>
        </w:tc>
        <w:tc>
          <w:tcPr>
            <w:tcW w:type="dxa" w:w="2028"/>
            <w:vAlign w:val="center"/>
            <w:shd w:fill="EAF2F5"/>
          </w:tcPr>
          <w:p>
            <w:pPr>
              <w:spacing w:after="20"/>
            </w:pPr>
            <w:r>
              <w:rPr>
                <w:rFonts w:ascii="Times New Roman" w:hAnsi="Times New Roman"/>
                <w:sz w:val="18"/>
              </w:rPr>
              <w:t>260 000 ₸</w:t>
            </w:r>
          </w:p>
        </w:tc>
        <w:tc>
          <w:tcPr>
            <w:tcW w:type="dxa" w:w="2028"/>
            <w:vAlign w:val="center"/>
            <w:shd w:fill="EAF2F5"/>
          </w:tcPr>
          <w:p>
            <w:pPr>
              <w:spacing w:after="20"/>
            </w:pPr>
            <w:r>
              <w:rPr>
                <w:rFonts w:ascii="Times New Roman" w:hAnsi="Times New Roman"/>
                <w:sz w:val="18"/>
              </w:rPr>
              <w:t>915 200 ₸</w:t>
            </w:r>
          </w:p>
        </w:tc>
        <w:tc>
          <w:tcPr>
            <w:tcW w:type="dxa" w:w="2028"/>
            <w:vAlign w:val="center"/>
            <w:shd w:fill="EAF2F5"/>
          </w:tcPr>
          <w:p>
            <w:pPr>
              <w:spacing w:after="20"/>
            </w:pPr>
            <w:r>
              <w:rPr>
                <w:rFonts w:ascii="Times New Roman" w:hAnsi="Times New Roman"/>
                <w:sz w:val="18"/>
              </w:rPr>
              <w:t>252,0 %</w:t>
            </w:r>
          </w:p>
        </w:tc>
        <w:tc>
          <w:tcPr>
            <w:tcW w:type="dxa" w:w="2028"/>
            <w:vAlign w:val="center"/>
            <w:shd w:fill="EAF2F5"/>
          </w:tcPr>
          <w:p>
            <w:pPr>
              <w:spacing w:after="20"/>
            </w:pPr>
            <w:r>
              <w:rPr>
                <w:rFonts w:ascii="Times New Roman" w:hAnsi="Times New Roman"/>
                <w:sz w:val="18"/>
              </w:rPr>
              <w:t>470 516 ₸</w:t>
            </w:r>
          </w:p>
        </w:tc>
      </w:tr>
      <w:tr>
        <w:tc>
          <w:tcPr>
            <w:tcW w:type="dxa" w:w="2028"/>
            <w:vAlign w:val="center"/>
          </w:tcPr>
          <w:p>
            <w:pPr>
              <w:spacing w:after="20"/>
            </w:pPr>
            <w:r>
              <w:rPr>
                <w:rFonts w:ascii="Times New Roman" w:hAnsi="Times New Roman"/>
                <w:sz w:val="18"/>
              </w:rPr>
              <w:t>RO App (SaaS)</w:t>
            </w:r>
          </w:p>
        </w:tc>
        <w:tc>
          <w:tcPr>
            <w:tcW w:type="dxa" w:w="2028"/>
            <w:vAlign w:val="center"/>
          </w:tcPr>
          <w:p>
            <w:pPr>
              <w:spacing w:after="20"/>
            </w:pPr>
            <w:r>
              <w:rPr>
                <w:rFonts w:ascii="Times New Roman" w:hAnsi="Times New Roman"/>
                <w:sz w:val="18"/>
              </w:rPr>
              <w:t>1 165 873 ₸</w:t>
            </w:r>
          </w:p>
        </w:tc>
        <w:tc>
          <w:tcPr>
            <w:tcW w:type="dxa" w:w="2028"/>
            <w:vAlign w:val="center"/>
          </w:tcPr>
          <w:p>
            <w:pPr>
              <w:spacing w:after="20"/>
            </w:pPr>
            <w:r>
              <w:rPr>
                <w:rFonts w:ascii="Times New Roman" w:hAnsi="Times New Roman"/>
                <w:sz w:val="18"/>
              </w:rPr>
              <w:t>2 059 200 ₸</w:t>
            </w:r>
          </w:p>
        </w:tc>
        <w:tc>
          <w:tcPr>
            <w:tcW w:type="dxa" w:w="2028"/>
            <w:vAlign w:val="center"/>
          </w:tcPr>
          <w:p>
            <w:pPr>
              <w:spacing w:after="20"/>
            </w:pPr>
            <w:r>
              <w:rPr>
                <w:rFonts w:ascii="Times New Roman" w:hAnsi="Times New Roman"/>
                <w:sz w:val="18"/>
              </w:rPr>
              <w:t>76,6 %</w:t>
            </w:r>
          </w:p>
        </w:tc>
        <w:tc>
          <w:tcPr>
            <w:tcW w:type="dxa" w:w="2028"/>
            <w:vAlign w:val="center"/>
          </w:tcPr>
          <w:p>
            <w:pPr>
              <w:spacing w:after="20"/>
            </w:pPr>
            <w:r>
              <w:rPr>
                <w:rFonts w:ascii="Times New Roman" w:hAnsi="Times New Roman"/>
                <w:sz w:val="18"/>
              </w:rPr>
              <w:t>611 794 ₸</w:t>
            </w:r>
          </w:p>
        </w:tc>
      </w:tr>
      <w:tr>
        <w:tc>
          <w:tcPr>
            <w:tcW w:type="dxa" w:w="2028"/>
            <w:vAlign w:val="center"/>
            <w:shd w:fill="EAF2F5"/>
          </w:tcPr>
          <w:p>
            <w:pPr>
              <w:spacing w:after="20"/>
            </w:pPr>
            <w:r>
              <w:rPr>
                <w:rFonts w:ascii="Times New Roman" w:hAnsi="Times New Roman"/>
                <w:sz w:val="18"/>
              </w:rPr>
              <w:t>MasterDesk (OSS)</w:t>
            </w:r>
          </w:p>
        </w:tc>
        <w:tc>
          <w:tcPr>
            <w:tcW w:type="dxa" w:w="2028"/>
            <w:vAlign w:val="center"/>
            <w:shd w:fill="EAF2F5"/>
          </w:tcPr>
          <w:p>
            <w:pPr>
              <w:spacing w:after="20"/>
            </w:pPr>
            <w:r>
              <w:rPr>
                <w:rFonts w:ascii="Times New Roman" w:hAnsi="Times New Roman"/>
                <w:sz w:val="18"/>
              </w:rPr>
              <w:t>1 684 200 ₸</w:t>
            </w:r>
          </w:p>
        </w:tc>
        <w:tc>
          <w:tcPr>
            <w:tcW w:type="dxa" w:w="2028"/>
            <w:vAlign w:val="center"/>
            <w:shd w:fill="EAF2F5"/>
          </w:tcPr>
          <w:p>
            <w:pPr>
              <w:spacing w:after="20"/>
            </w:pPr>
            <w:r>
              <w:rPr>
                <w:rFonts w:ascii="Times New Roman" w:hAnsi="Times New Roman"/>
                <w:sz w:val="18"/>
              </w:rPr>
              <w:t>2 516 800 ₸</w:t>
            </w:r>
          </w:p>
        </w:tc>
        <w:tc>
          <w:tcPr>
            <w:tcW w:type="dxa" w:w="2028"/>
            <w:vAlign w:val="center"/>
            <w:shd w:fill="EAF2F5"/>
          </w:tcPr>
          <w:p>
            <w:pPr>
              <w:spacing w:after="20"/>
            </w:pPr>
            <w:r>
              <w:rPr>
                <w:rFonts w:ascii="Times New Roman" w:hAnsi="Times New Roman"/>
                <w:sz w:val="18"/>
              </w:rPr>
              <w:t>49,4 %</w:t>
            </w:r>
          </w:p>
        </w:tc>
        <w:tc>
          <w:tcPr>
            <w:tcW w:type="dxa" w:w="2028"/>
            <w:vAlign w:val="center"/>
            <w:shd w:fill="EAF2F5"/>
          </w:tcPr>
          <w:p>
            <w:pPr>
              <w:spacing w:after="20"/>
            </w:pPr>
            <w:r>
              <w:rPr>
                <w:rFonts w:ascii="Times New Roman" w:hAnsi="Times New Roman"/>
                <w:sz w:val="18"/>
              </w:rPr>
              <w:t>411 735 ₸</w:t>
            </w:r>
          </w:p>
        </w:tc>
      </w:tr>
    </w:tbl>
    <w:p>
      <w:r>
        <w:t>MasterDesk бастапқы инвестициясы — 825 000 ₸: 290 сағат команда еңбегі (725 000 ₸), деректерді көшіру (50 000 ₸), оқыту (35 000 ₸) және ескі тәсілден шығу (15 000 ₸). Жылдық қолдау және инфрақұрылым — 286 400 ₸: VPS, резервтік көшірме, домен және айына 4 сағат техникалық қолдау. Open-source лицензиясына бөлек төлем қойылмаған.</w:t>
      </w:r>
    </w:p>
    <w:p>
      <w:r>
        <w:t>MasterDesk нәтижесі: 3 жыл TCO — 1 684 200 ₸; жиналған есептік пайда — 2 516 800 ₸; ROI — 49,4%; NPV (15%) — +411 735 ₸; дисконтталмаған өтелу уақыты — шамамен 1,68 жыл. Толық жылдық әсер / 12 = 76 267 ₸/ай — жобаны кейінге шегерудің есептік айлық құны (алғашқы жылы нақты әсер төмен болуы мүмкін).</w:t>
      </w:r>
    </w:p>
    <w:p>
      <w:pPr>
        <w:pStyle w:val="Heading1"/>
      </w:pPr>
      <w:r>
        <w:t>5. Сезімталдық және шекті нүкте</w:t>
      </w:r>
    </w:p>
    <w:tbl>
      <w:tblPr>
        <w:tblStyle w:val="TableGrid"/>
        <w:tblW w:type="auto" w:w="0"/>
        <w:jc w:val="center"/>
        <w:tblLook w:firstColumn="1" w:firstRow="1" w:lastColumn="0" w:lastRow="0" w:noHBand="0" w:noVBand="1" w:val="04A0"/>
      </w:tblPr>
      <w:tblGrid>
        <w:gridCol w:w="3381"/>
        <w:gridCol w:w="3381"/>
        <w:gridCol w:w="3381"/>
      </w:tblGrid>
      <w:tr>
        <w:tc>
          <w:tcPr>
            <w:tcW w:type="dxa" w:w="3381"/>
            <w:vAlign w:val="center"/>
            <w:shd w:fill="17364A"/>
          </w:tcPr>
          <w:p>
            <w:pPr>
              <w:spacing w:after="20"/>
            </w:pPr>
            <w:r>
              <w:rPr>
                <w:rFonts w:ascii="Times New Roman" w:hAnsi="Times New Roman"/>
                <w:b/>
                <w:color w:val="FFFFFF"/>
                <w:sz w:val="18"/>
              </w:rPr>
              <w:t>Сценарий</w:t>
            </w:r>
          </w:p>
        </w:tc>
        <w:tc>
          <w:tcPr>
            <w:tcW w:type="dxa" w:w="3381"/>
            <w:vAlign w:val="center"/>
            <w:shd w:fill="17364A"/>
          </w:tcPr>
          <w:p>
            <w:pPr>
              <w:spacing w:after="20"/>
            </w:pPr>
            <w:r>
              <w:rPr>
                <w:rFonts w:ascii="Times New Roman" w:hAnsi="Times New Roman"/>
                <w:b/>
                <w:color w:val="FFFFFF"/>
                <w:sz w:val="18"/>
              </w:rPr>
              <w:t>NPV, 3 жыл</w:t>
            </w:r>
          </w:p>
        </w:tc>
        <w:tc>
          <w:tcPr>
            <w:tcW w:type="dxa" w:w="3381"/>
            <w:vAlign w:val="center"/>
            <w:shd w:fill="17364A"/>
          </w:tcPr>
          <w:p>
            <w:pPr>
              <w:spacing w:after="20"/>
            </w:pPr>
            <w:r>
              <w:rPr>
                <w:rFonts w:ascii="Times New Roman" w:hAnsi="Times New Roman"/>
                <w:b/>
                <w:color w:val="FFFFFF"/>
                <w:sz w:val="18"/>
              </w:rPr>
              <w:t>Түсініктеме</w:t>
            </w:r>
          </w:p>
        </w:tc>
      </w:tr>
      <w:tr>
        <w:tc>
          <w:tcPr>
            <w:tcW w:type="dxa" w:w="3381"/>
            <w:vAlign w:val="center"/>
          </w:tcPr>
          <w:p>
            <w:pPr>
              <w:spacing w:after="20"/>
            </w:pPr>
            <w:r>
              <w:rPr>
                <w:rFonts w:ascii="Times New Roman" w:hAnsi="Times New Roman"/>
                <w:sz w:val="18"/>
              </w:rPr>
              <w:t>Негізгі</w:t>
            </w:r>
          </w:p>
        </w:tc>
        <w:tc>
          <w:tcPr>
            <w:tcW w:type="dxa" w:w="3381"/>
            <w:vAlign w:val="center"/>
          </w:tcPr>
          <w:p>
            <w:pPr>
              <w:spacing w:after="20"/>
            </w:pPr>
            <w:r>
              <w:rPr>
                <w:rFonts w:ascii="Times New Roman" w:hAnsi="Times New Roman"/>
                <w:sz w:val="18"/>
              </w:rPr>
              <w:t>411 735 ₸</w:t>
            </w:r>
          </w:p>
        </w:tc>
        <w:tc>
          <w:tcPr>
            <w:tcW w:type="dxa" w:w="3381"/>
            <w:vAlign w:val="center"/>
          </w:tcPr>
          <w:p>
            <w:pPr>
              <w:spacing w:after="20"/>
            </w:pPr>
            <w:r>
              <w:rPr>
                <w:rFonts w:ascii="Times New Roman" w:hAnsi="Times New Roman"/>
                <w:sz w:val="18"/>
              </w:rPr>
              <w:t>Болжамдағы көлем мен шығын</w:t>
            </w:r>
          </w:p>
        </w:tc>
      </w:tr>
      <w:tr>
        <w:tc>
          <w:tcPr>
            <w:tcW w:type="dxa" w:w="3381"/>
            <w:vAlign w:val="center"/>
            <w:shd w:fill="EAF2F5"/>
          </w:tcPr>
          <w:p>
            <w:pPr>
              <w:spacing w:after="20"/>
            </w:pPr>
            <w:r>
              <w:rPr>
                <w:rFonts w:ascii="Times New Roman" w:hAnsi="Times New Roman"/>
                <w:sz w:val="18"/>
              </w:rPr>
              <w:t>Шығын +30%</w:t>
            </w:r>
          </w:p>
        </w:tc>
        <w:tc>
          <w:tcPr>
            <w:tcW w:type="dxa" w:w="3381"/>
            <w:vAlign w:val="center"/>
            <w:shd w:fill="EAF2F5"/>
          </w:tcPr>
          <w:p>
            <w:pPr>
              <w:spacing w:after="20"/>
            </w:pPr>
            <w:r>
              <w:rPr>
                <w:rFonts w:ascii="Times New Roman" w:hAnsi="Times New Roman"/>
                <w:sz w:val="18"/>
              </w:rPr>
              <w:t>-31 939 ₸</w:t>
            </w:r>
          </w:p>
        </w:tc>
        <w:tc>
          <w:tcPr>
            <w:tcW w:type="dxa" w:w="3381"/>
            <w:vAlign w:val="center"/>
            <w:shd w:fill="EAF2F5"/>
          </w:tcPr>
          <w:p>
            <w:pPr>
              <w:spacing w:after="20"/>
            </w:pPr>
            <w:r>
              <w:rPr>
                <w:rFonts w:ascii="Times New Roman" w:hAnsi="Times New Roman"/>
                <w:sz w:val="18"/>
              </w:rPr>
              <w:t>Тиімділік шегі дерлік жоғалады</w:t>
            </w:r>
          </w:p>
        </w:tc>
      </w:tr>
      <w:tr>
        <w:tc>
          <w:tcPr>
            <w:tcW w:type="dxa" w:w="3381"/>
            <w:vAlign w:val="center"/>
          </w:tcPr>
          <w:p>
            <w:pPr>
              <w:spacing w:after="20"/>
            </w:pPr>
            <w:r>
              <w:rPr>
                <w:rFonts w:ascii="Times New Roman" w:hAnsi="Times New Roman"/>
                <w:sz w:val="18"/>
              </w:rPr>
              <w:t>Пайда −50%</w:t>
            </w:r>
          </w:p>
        </w:tc>
        <w:tc>
          <w:tcPr>
            <w:tcW w:type="dxa" w:w="3381"/>
            <w:vAlign w:val="center"/>
          </w:tcPr>
          <w:p>
            <w:pPr>
              <w:spacing w:after="20"/>
            </w:pPr>
            <w:r>
              <w:rPr>
                <w:rFonts w:ascii="Times New Roman" w:hAnsi="Times New Roman"/>
                <w:sz w:val="18"/>
              </w:rPr>
              <w:t>-533 590 ₸</w:t>
            </w:r>
          </w:p>
        </w:tc>
        <w:tc>
          <w:tcPr>
            <w:tcW w:type="dxa" w:w="3381"/>
            <w:vAlign w:val="center"/>
          </w:tcPr>
          <w:p>
            <w:pPr>
              <w:spacing w:after="20"/>
            </w:pPr>
            <w:r>
              <w:rPr>
                <w:rFonts w:ascii="Times New Roman" w:hAnsi="Times New Roman"/>
                <w:sz w:val="18"/>
              </w:rPr>
              <w:t>Жоба өзін ақтамайды</w:t>
            </w:r>
          </w:p>
        </w:tc>
      </w:tr>
      <w:tr>
        <w:tc>
          <w:tcPr>
            <w:tcW w:type="dxa" w:w="3381"/>
            <w:vAlign w:val="center"/>
            <w:shd w:fill="EAF2F5"/>
          </w:tcPr>
          <w:p>
            <w:pPr>
              <w:spacing w:after="20"/>
            </w:pPr>
            <w:r>
              <w:rPr>
                <w:rFonts w:ascii="Times New Roman" w:hAnsi="Times New Roman"/>
                <w:sz w:val="18"/>
              </w:rPr>
              <w:t>Екеуі қатар</w:t>
            </w:r>
          </w:p>
        </w:tc>
        <w:tc>
          <w:tcPr>
            <w:tcW w:type="dxa" w:w="3381"/>
            <w:vAlign w:val="center"/>
            <w:shd w:fill="EAF2F5"/>
          </w:tcPr>
          <w:p>
            <w:pPr>
              <w:spacing w:after="20"/>
            </w:pPr>
            <w:r>
              <w:rPr>
                <w:rFonts w:ascii="Times New Roman" w:hAnsi="Times New Roman"/>
                <w:sz w:val="18"/>
              </w:rPr>
              <w:t>-977 265 ₸</w:t>
            </w:r>
          </w:p>
        </w:tc>
        <w:tc>
          <w:tcPr>
            <w:tcW w:type="dxa" w:w="3381"/>
            <w:vAlign w:val="center"/>
            <w:shd w:fill="EAF2F5"/>
          </w:tcPr>
          <w:p>
            <w:pPr>
              <w:spacing w:after="20"/>
            </w:pPr>
            <w:r>
              <w:rPr>
                <w:rFonts w:ascii="Times New Roman" w:hAnsi="Times New Roman"/>
                <w:sz w:val="18"/>
              </w:rPr>
              <w:t>Ең қолайсыз комбинация</w:t>
            </w:r>
          </w:p>
        </w:tc>
      </w:tr>
    </w:tbl>
    <w:p>
      <w:r>
        <w:t>NPV нөлге тең болатын минимал толық-жылдық әсер — 715 893 ₸. Ағымдағы 260 тапсырыс және 80% өнімді пайдалану жағдайында бұл бір тапсырыстан шамамен 8,6 минут үнемдеуге сәйкес келеді. Қалған шарттар өзгермесе, одан төмен нәтижеде жоба тартымдылығы төмендейді.</w:t>
      </w:r>
    </w:p>
    <w:p>
      <w:pPr>
        <w:pStyle w:val="Heading1"/>
      </w:pPr>
      <w:r>
        <w:t>6. Ұсынылған шешім және шектеулер</w:t>
      </w:r>
    </w:p>
    <w:p>
      <w:r>
        <w:t>Жалаң қаржылық салыстыруда дайын RO App нұсқасының NPV мәні MasterDesk-тен жоғары. Сондықтан «өзіміз жасау міндетті түрде ең арзан» деп қорытынды жасауға болмайды. Алғашқы әрекет — TechPoint-пен жұмыс сценарийлерін тексеру және дайын SaaS нұсқасының 5 пайдаланушыға, құқықтарға, статустарға және деректерді экспорттауға жарамдылығын қарау.</w:t>
      </w:r>
    </w:p>
    <w:p>
      <w:r>
        <w:t>MasterDesk әзірлеуін шағын MVP ретінде жалғастыру ұсынылады, бірақ өндірістік енгізу туралы шешім пилот пен салыстыру нәтижесінен кейін қабылдануы тиіс. Егер сатып алынатын SaaS барлық негізгі талапты жеткілікті өтесе, оны таңдау экономикалық тұрғыдан орынды болуы мүмкін. Сапа, деректердің қауіпсіздігі және рөлдік қолжетімділік шығынды азайту үшін қысқартылмайды.</w:t>
      </w:r>
    </w:p>
    <w:p>
      <w:pPr>
        <w:pStyle w:val="Heading1"/>
      </w:pPr>
      <w:r>
        <w:t>7. Тексерілуі тиіс деректер</w:t>
      </w:r>
    </w:p>
    <w:p>
      <w:pPr>
        <w:pStyle w:val="ListBullet"/>
      </w:pPr>
      <w:r>
        <w:t>Байкенов Оспанмен есептеу көкжиегін, мақсаттарды және жобаны қолдау жауапкершілігін келісу.</w:t>
      </w:r>
    </w:p>
    <w:p>
      <w:pPr>
        <w:pStyle w:val="ListBullet"/>
      </w:pPr>
      <w:r>
        <w:t>7 күн нақты тапсырыс санын және 10–20 операцияның уақытын өлшеу.</w:t>
      </w:r>
    </w:p>
    <w:p>
      <w:pPr>
        <w:pStyle w:val="ListBullet"/>
      </w:pPr>
      <w:r>
        <w:t>Қызметкерлер саны, толық еңбек құны, деректерді сақтау талаптары мен хостингті нақтылау.</w:t>
      </w:r>
    </w:p>
    <w:p>
      <w:pPr>
        <w:pStyle w:val="ListBullet"/>
      </w:pPr>
      <w:r>
        <w:t>Дайын SaaS тарифтерін, деректер экспорты мен пайдаланушы құқықтарын пилотта тексеру.</w:t>
      </w:r>
    </w:p>
    <w:p>
      <w:pPr>
        <w:pStyle w:val="Heading1"/>
      </w:pPr>
      <w:r>
        <w:t>Нарықтық дереккөздер (20.10.2026)</w:t>
      </w:r>
    </w:p>
    <w:p>
      <w:r>
        <w:t>RO App, All-in-One, 29 €/ай, қосымша қызметкер 7 €/ай — https://roapp.io/ru/pricing/</w:t>
      </w:r>
    </w:p>
    <w:p>
      <w:r>
        <w:t>NLS Kazakhstan, VPS COMFORT PRO, 15 480 ₸/ай және LIGHT PRO 5 880 ₸/ай — https://server.nls.kz/</w:t>
      </w:r>
    </w:p>
    <w:p>
      <w:r>
        <w:t>Ұлттық банк, EUR/KZT 20.10.2026: 507,67 — https://nationalbank.kz/ru/exchangerates/ezhednevnye-oficialnye-rynochnye-kursy-valyut</w:t>
      </w:r>
    </w:p>
    <w:p>
      <w:r>
        <w:t>hh.kz, Астанадағы әкімшілік/сервистік вакансиялар — https://astana.hh.kz/vacancies/administrator-servisnogo-tsentra/polniy_den</w:t>
      </w:r>
    </w:p>
    <w:p>
      <w:r>
        <w:t>КФГД, депозиттік пайыздарды белгілеу әдістемесі — https://new.kdif.kz/press-tsentr/press-relizy/6-v-oktyabre-maksimalnye-stavki-po-depozitam-otrazyat-tendentsii-na-rynke/?special_version=Y</w:t>
      </w:r>
    </w:p>
    <w:p>
      <w:r>
        <w:t>Қазақстандық веб-әзірлеу бағасы, төменгі нарықтық бағдар — https://wowit.kz/stoimost/veb-prilozheniya/</w:t>
      </w:r>
    </w:p>
    <w:p>
      <w:r>
        <w:t>Мамандардың орташа сағаттық бағасы, Астанадағы тендер алаңы (мобильді бағдарламалар; тікелей балама емес) — https://workspace.ru/astana/mobile/</w:t>
      </w:r>
    </w:p>
    <w:p>
      <w:r>
        <w:t>Ескерту: ішкі операция саны, минуттар, жалақыға 1,12 коэффициенті, әзірлеушінің 2 500 ₸/сағат мөлшерлемесі, бастапқы еңбек сағаттары және 15% дисконттау — нақты шарттар емес, алдын ала есептік жорамалдар. Барлық мәннің толық тізімі қаржы моделіндегі «Дереккөздер» парағында бар.</w:t>
      </w:r>
    </w:p>
    <w:sectPr w:rsidR="00FC693F" w:rsidRPr="0006063C" w:rsidSect="00034616">
      <w:pgSz w:w="12240" w:h="15840"/>
      <w:pgMar w:top="964" w:right="964" w:bottom="90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Times New Roman" w:hAnsi="Times New Roman"/>
      <w:b/>
      <w:bCs/>
      <w:color w:val="17364A"/>
      <w:sz w:val="27"/>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Times New Roman" w:hAnsi="Times New Roman"/>
      <w:b/>
      <w:bCs/>
      <w:color w:val="17364A"/>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160"/>
      <w:contextualSpacing/>
    </w:pPr>
    <w:rPr>
      <w:rFonts w:asciiTheme="majorHAnsi" w:eastAsiaTheme="majorEastAsia" w:hAnsiTheme="majorHAnsi" w:cstheme="majorBidi" w:ascii="Times New Roman" w:hAnsi="Times New Roman"/>
      <w:b/>
      <w:color w:val="17364A"/>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