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MasterDesk — №8 зертханалық жұмыс</w:t>
      </w:r>
    </w:p>
    <w:p>
      <w:pPr>
        <w:jc w:val="center"/>
      </w:pPr>
      <w:r>
        <w:rPr>
          <w:b/>
        </w:rPr>
        <w:t>SoW, SLA/SLO, Error Budget және 12 айлық бюджет</w:t>
      </w:r>
    </w:p>
    <w:p>
      <w:r>
        <w:t>Пән: IT-жобаларды басқару   |   Топ: АЖ-49   |   Күні: 20.10.2026</w:t>
      </w:r>
    </w:p>
    <w:p>
      <w:r>
        <w:t>Жоба: MasterDesk — TechPoint сервис орталығының жөндеу тапсырыстарын басқару жүйесі.</w:t>
      </w:r>
    </w:p>
    <w:p>
      <w:r>
        <w:t>Тапсырыс беруші: TechPoint. Байланыс тұлғасы: Байкенов Оспан.</w:t>
      </w:r>
    </w:p>
    <w:p>
      <w:r>
        <w:t>Команда: Амир — Project Manager / Frontend (Angular); Жандарбек Ханкелді — Backend (.NET / PostgreSQL).</w:t>
      </w:r>
    </w:p>
    <w:p>
      <w:r>
        <w:t>Мәртебе: оқу жұмысына арналған шарт жобасы және есептік қаржылық модель. TechPoint тарапынан келісілген, қол қойылған немесе іске қосылған құжат емес.</w:t>
      </w:r>
    </w:p>
    <w:p>
      <w:pPr>
        <w:pStyle w:val="Heading1"/>
      </w:pPr>
      <w:r>
        <w:t>1. Жобаның қысқаша негізі</w:t>
      </w:r>
    </w:p>
    <w:p>
      <w:r>
        <w:t>MasterDesk MVP клиент пен құрылғыны тіркеуді, жөндеу тапсырысын ашуды, шеберге тағайындауды, мәртебесін өзгертуді, жөндеу құнын есептеуді және тапсырыс тарихын іздеуді бір веб-қосымшаға біріктіруге бағытталған. ЛЗ 3 бойынша есептік көлем — айына 260 тапсырыс және 5 қызметкер. Осы мәндер нақты кәсіпорында өлшенбеген; ЛЗ 8 үшін салыстыру базасы ретінде қалдырылды.</w:t>
      </w:r>
    </w:p>
    <w:p>
      <w:pPr>
        <w:pStyle w:val="Heading1"/>
      </w:pPr>
      <w:r>
        <w:t>2. SoW — жұмыстар құрамы мен міндеттемелер</w:t>
      </w:r>
    </w:p>
    <w:p>
      <w:pPr>
        <w:pStyle w:val="Heading2"/>
      </w:pPr>
      <w:r>
        <w:t>2.1. Тараптар, пәні және нәтижелер</w:t>
      </w:r>
    </w:p>
    <w:p>
      <w:r>
        <w:t>Оқу жобасының орындаушысы — екі адамнан тұратын MasterDesk командасы. Тапсырыс беруші ұйым — TechPoint; оның өкілетті бекітуші тұлғасы бөлек анықталады. Байкенов Оспан әзірше байланыс тұлғасы ретінде ғана көрсетіледі. SoW пәні — келісілген MVP функционалы бар демонстрациялық веб-жүйе мен оны қабылдауға жеткілікті техникалық құжаттар.</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4986"/>
            <w:vAlign w:val="center"/>
            <w:shd w:fill="17324D"/>
          </w:tcPr>
          <w:p>
            <w:pPr>
              <w:spacing w:after="20" w:before="20" w:line="240" w:lineRule="auto"/>
            </w:pPr>
            <w:r>
              <w:rPr>
                <w:rFonts w:ascii="Times New Roman" w:hAnsi="Times New Roman"/>
                <w:b/>
                <w:color w:val="FFFFFF"/>
                <w:sz w:val="21"/>
              </w:rPr>
              <w:t>Нәтиже</w:t>
            </w:r>
          </w:p>
        </w:tc>
        <w:tc>
          <w:tcPr>
            <w:tcW w:type="dxa" w:w="4986"/>
            <w:vAlign w:val="center"/>
            <w:shd w:fill="17324D"/>
          </w:tcPr>
          <w:p>
            <w:pPr>
              <w:spacing w:after="20" w:before="20" w:line="240" w:lineRule="auto"/>
            </w:pPr>
            <w:r>
              <w:rPr>
                <w:rFonts w:ascii="Times New Roman" w:hAnsi="Times New Roman"/>
                <w:b/>
                <w:color w:val="FFFFFF"/>
                <w:sz w:val="21"/>
              </w:rPr>
              <w:t>Қабылдауға берілетін дәлел</w:t>
            </w:r>
          </w:p>
        </w:tc>
      </w:tr>
      <w:tr>
        <w:trPr>
          <w:cantSplit/>
        </w:trPr>
        <w:tc>
          <w:tcPr>
            <w:tcW w:type="dxa" w:w="4986"/>
            <w:vAlign w:val="center"/>
          </w:tcPr>
          <w:p>
            <w:pPr>
              <w:spacing w:after="20" w:before="20" w:line="240" w:lineRule="auto"/>
            </w:pPr>
            <w:r>
              <w:rPr>
                <w:rFonts w:ascii="Times New Roman" w:hAnsi="Times New Roman"/>
                <w:sz w:val="21"/>
              </w:rPr>
              <w:t>Angular веб-интерфейсі</w:t>
            </w:r>
          </w:p>
        </w:tc>
        <w:tc>
          <w:tcPr>
            <w:tcW w:type="dxa" w:w="4986"/>
            <w:vAlign w:val="center"/>
          </w:tcPr>
          <w:p>
            <w:pPr>
              <w:spacing w:after="20" w:before="20" w:line="240" w:lineRule="auto"/>
            </w:pPr>
            <w:r>
              <w:rPr>
                <w:rFonts w:ascii="Times New Roman" w:hAnsi="Times New Roman"/>
                <w:sz w:val="21"/>
              </w:rPr>
              <w:t>Рөлге қарай кіру, клиент/құрылғы, тапсырыс, статус, іздеу экрандары</w:t>
            </w:r>
          </w:p>
        </w:tc>
      </w:tr>
      <w:tr>
        <w:trPr>
          <w:cantSplit/>
        </w:trPr>
        <w:tc>
          <w:tcPr>
            <w:tcW w:type="dxa" w:w="4986"/>
            <w:vAlign w:val="center"/>
            <w:shd w:fill="EAF1F7"/>
          </w:tcPr>
          <w:p>
            <w:pPr>
              <w:spacing w:after="20" w:before="20" w:line="240" w:lineRule="auto"/>
            </w:pPr>
            <w:r>
              <w:rPr>
                <w:rFonts w:ascii="Times New Roman" w:hAnsi="Times New Roman"/>
                <w:sz w:val="21"/>
              </w:rPr>
              <w:t>ASP.NET Core API + PostgreSQL</w:t>
            </w:r>
          </w:p>
        </w:tc>
        <w:tc>
          <w:tcPr>
            <w:tcW w:type="dxa" w:w="4986"/>
            <w:vAlign w:val="center"/>
            <w:shd w:fill="EAF1F7"/>
          </w:tcPr>
          <w:p>
            <w:pPr>
              <w:spacing w:after="20" w:before="20" w:line="240" w:lineRule="auto"/>
            </w:pPr>
            <w:r>
              <w:rPr>
                <w:rFonts w:ascii="Times New Roman" w:hAnsi="Times New Roman"/>
                <w:sz w:val="21"/>
              </w:rPr>
              <w:t>Дерекқор схемасы, API маршруттары, Swagger сипаттамасы</w:t>
            </w:r>
          </w:p>
        </w:tc>
      </w:tr>
      <w:tr>
        <w:trPr>
          <w:cantSplit/>
        </w:trPr>
        <w:tc>
          <w:tcPr>
            <w:tcW w:type="dxa" w:w="4986"/>
            <w:vAlign w:val="center"/>
          </w:tcPr>
          <w:p>
            <w:pPr>
              <w:spacing w:after="20" w:before="20" w:line="240" w:lineRule="auto"/>
            </w:pPr>
            <w:r>
              <w:rPr>
                <w:rFonts w:ascii="Times New Roman" w:hAnsi="Times New Roman"/>
                <w:sz w:val="21"/>
              </w:rPr>
              <w:t>Рөлдер және аудит</w:t>
            </w:r>
          </w:p>
        </w:tc>
        <w:tc>
          <w:tcPr>
            <w:tcW w:type="dxa" w:w="4986"/>
            <w:vAlign w:val="center"/>
          </w:tcPr>
          <w:p>
            <w:pPr>
              <w:spacing w:after="20" w:before="20" w:line="240" w:lineRule="auto"/>
            </w:pPr>
            <w:r>
              <w:rPr>
                <w:rFonts w:ascii="Times New Roman" w:hAnsi="Times New Roman"/>
                <w:sz w:val="21"/>
              </w:rPr>
              <w:t>Admin/қабылдаушы/шебер құқықтары; статус өзгерісінің авторы мен уақыты</w:t>
            </w:r>
          </w:p>
        </w:tc>
      </w:tr>
      <w:tr>
        <w:trPr>
          <w:cantSplit/>
        </w:trPr>
        <w:tc>
          <w:tcPr>
            <w:tcW w:type="dxa" w:w="4986"/>
            <w:vAlign w:val="center"/>
            <w:shd w:fill="EAF1F7"/>
          </w:tcPr>
          <w:p>
            <w:pPr>
              <w:spacing w:after="20" w:before="20" w:line="240" w:lineRule="auto"/>
            </w:pPr>
            <w:r>
              <w:rPr>
                <w:rFonts w:ascii="Times New Roman" w:hAnsi="Times New Roman"/>
                <w:sz w:val="21"/>
              </w:rPr>
              <w:t>Тестілеу пакеті</w:t>
            </w:r>
          </w:p>
        </w:tc>
        <w:tc>
          <w:tcPr>
            <w:tcW w:type="dxa" w:w="4986"/>
            <w:vAlign w:val="center"/>
            <w:shd w:fill="EAF1F7"/>
          </w:tcPr>
          <w:p>
            <w:pPr>
              <w:spacing w:after="20" w:before="20" w:line="240" w:lineRule="auto"/>
            </w:pPr>
            <w:r>
              <w:rPr>
                <w:rFonts w:ascii="Times New Roman" w:hAnsi="Times New Roman"/>
                <w:sz w:val="21"/>
              </w:rPr>
              <w:t>Негізгі сценарий чек-листі, API тест жоспары, ақаулар журналы</w:t>
            </w:r>
          </w:p>
        </w:tc>
      </w:tr>
      <w:tr>
        <w:trPr>
          <w:cantSplit/>
        </w:trPr>
        <w:tc>
          <w:tcPr>
            <w:tcW w:type="dxa" w:w="4986"/>
            <w:vAlign w:val="center"/>
          </w:tcPr>
          <w:p>
            <w:pPr>
              <w:spacing w:after="20" w:before="20" w:line="240" w:lineRule="auto"/>
            </w:pPr>
            <w:r>
              <w:rPr>
                <w:rFonts w:ascii="Times New Roman" w:hAnsi="Times New Roman"/>
                <w:sz w:val="21"/>
              </w:rPr>
              <w:t>Демо деректер және нұсқаулық</w:t>
            </w:r>
          </w:p>
        </w:tc>
        <w:tc>
          <w:tcPr>
            <w:tcW w:type="dxa" w:w="4986"/>
            <w:vAlign w:val="center"/>
          </w:tcPr>
          <w:p>
            <w:pPr>
              <w:spacing w:after="20" w:before="20" w:line="240" w:lineRule="auto"/>
            </w:pPr>
            <w:r>
              <w:rPr>
                <w:rFonts w:ascii="Times New Roman" w:hAnsi="Times New Roman"/>
                <w:sz w:val="21"/>
              </w:rPr>
              <w:t>20 синтетикалық жазба, жергілікті іске қосу мен backup/restore қадамдары</w:t>
            </w:r>
          </w:p>
        </w:tc>
      </w:tr>
      <w:tr>
        <w:trPr>
          <w:cantSplit/>
        </w:trPr>
        <w:tc>
          <w:tcPr>
            <w:tcW w:type="dxa" w:w="4986"/>
            <w:vAlign w:val="center"/>
            <w:shd w:fill="EAF1F7"/>
          </w:tcPr>
          <w:p>
            <w:pPr>
              <w:spacing w:after="20" w:before="20" w:line="240" w:lineRule="auto"/>
            </w:pPr>
            <w:r>
              <w:rPr>
                <w:rFonts w:ascii="Times New Roman" w:hAnsi="Times New Roman"/>
                <w:sz w:val="21"/>
              </w:rPr>
              <w:t>Тапсыру пакеті</w:t>
            </w:r>
          </w:p>
        </w:tc>
        <w:tc>
          <w:tcPr>
            <w:tcW w:type="dxa" w:w="4986"/>
            <w:vAlign w:val="center"/>
            <w:shd w:fill="EAF1F7"/>
          </w:tcPr>
          <w:p>
            <w:pPr>
              <w:spacing w:after="20" w:before="20" w:line="240" w:lineRule="auto"/>
            </w:pPr>
            <w:r>
              <w:rPr>
                <w:rFonts w:ascii="Times New Roman" w:hAnsi="Times New Roman"/>
                <w:sz w:val="21"/>
              </w:rPr>
              <w:t>GitHub commit/tag, қысқа демо және қабылдау хаттамасының жобасы</w:t>
            </w:r>
          </w:p>
        </w:tc>
      </w:tr>
    </w:tbl>
    <w:p>
      <w:pPr>
        <w:pStyle w:val="Heading2"/>
      </w:pPr>
      <w:r>
        <w:t>2.2. Шекарасы: не кіреді және не кірмейді</w:t>
      </w:r>
    </w:p>
    <w:p>
      <w:r>
        <w:t>Кіреді: пайдаланушыны рөлімен авторизациялау; клиент пен құрылғы картасы; тапсырысты құру және табу; жауапты шеберді бекіту; статус және есептік жөндеу құны; мәртебе тарихы мен қауіпсіздік тексерулері. Жобаның технологиялық шегі — Angular + ASP.NET Core + PostgreSQL, демо/тест ортамен бірге.</w:t>
      </w:r>
    </w:p>
    <w:p>
      <w:r>
        <w:t>Кірмейді: онлайн-төлем және Kaspi/Halyk интеграциялары, толық қойма мен бухгалтерия, SMS/WhatsApp жіберу, native iOS/Android, AI көмекшісі, көп филиалды аналитика және тәулік бойы өндірістік мониторинг. Бұлар жаңа келісім мен бюджетсіз міндеттеме болып саналмайды.</w:t>
      </w:r>
    </w:p>
    <w:p>
      <w:pPr>
        <w:pStyle w:val="Heading2"/>
      </w:pPr>
      <w:r>
        <w:t>2.3. Қабылдау тәртібі және мерзімдері</w:t>
      </w:r>
    </w:p>
    <w:p>
      <w:pPr>
        <w:pStyle w:val="ListNumber"/>
        <w:spacing w:after="40"/>
      </w:pPr>
      <w:r>
        <w:t>Команда staging немесе локал демоны, GitHub сілтемесін, тест хаттамасын және белгілі ақаулар тізімін ұсынады.</w:t>
      </w:r>
    </w:p>
    <w:p>
      <w:pPr>
        <w:pStyle w:val="ListNumber"/>
        <w:spacing w:after="40"/>
      </w:pPr>
      <w:r>
        <w:t>Қабылдау тексеруі: тесттік дерекпен клиент/құрылғы ашу; тапсырыс құру; жауапты шеберді қою; рұқсат етілген статус ауысуы; іздеу; рөл бойынша тыйым (HTTP 403); audit жазбасы.</w:t>
      </w:r>
    </w:p>
    <w:p>
      <w:pPr>
        <w:pStyle w:val="ListNumber"/>
        <w:spacing w:after="40"/>
      </w:pPr>
      <w:r>
        <w:t>Тапсырыс берушінің уәкілетті тұлғасына 5 жұмыс күні қарау мерзімі ұсынылады; кері байланыс нақты сценарий мен күтілетін нәтижеге сүйеніп жазылады.</w:t>
      </w:r>
    </w:p>
    <w:p>
      <w:pPr>
        <w:pStyle w:val="ListNumber"/>
        <w:spacing w:after="40"/>
      </w:pPr>
      <w:r>
        <w:t>Кері байланыс болмаса, нәтиже автоматты қабылданған болып есептелмейді: PM статусын «қаралуда» деп тіркейді және жаңа мерзімді келіседі.</w:t>
      </w:r>
    </w:p>
    <w:p>
      <w:pPr>
        <w:pStyle w:val="ListNumber"/>
        <w:spacing w:after="40"/>
      </w:pPr>
      <w:r>
        <w:t>Критикалық ақау түзеліп, тексеру қайта өткен соң ғана демо нұсқа қабылдауға ұсынылады. Өндірістік енгізу үшін жеке шешім қажет.</w:t>
      </w:r>
    </w:p>
    <w:p>
      <w:pPr>
        <w:pStyle w:val="Heading2"/>
      </w:pPr>
      <w:r>
        <w:t>2.4. Өзгерісті басқару</w:t>
      </w:r>
    </w:p>
    <w:p>
      <w:r>
        <w:t>Өзгеріс сұрауы (CR) жазбаша тіркеледі: ID, сұраған тұлға, себеп, қай User Story өзгеретіні, уақыт/құн/тәуекел әсері, қандай функция шығарылатыны, шешім. Амир impact пен backlog-ті жаңартады, Ханкелді backend тәуелділігін бағалайды. Өкілетті тапсырыс беруші бекітпейінше жаңа жұмыс scope-қа кірмейді.</w:t>
      </w:r>
    </w:p>
    <w:p>
      <w:r>
        <w:t>Мерзімі бекітілген MVP-де «тең көлемге айырбастау» қағидасы қолданылады: 12 сағаттық жаңа есеп беру экраны тек 12 сағатқа жуық бастапқы, міндетті емес іздеу сүзгілерінің орнына алына алады. RBAC, негізгі тапсырыс сценарийі, резервтік көшіру және қауіпсіздік шарттары айырбасталмайды. Баламасыз қосымша жұмыс — жаңа мерзім мен бюджет арқылы бөлек бекітіледі.</w:t>
      </w:r>
    </w:p>
    <w:p>
      <w:pPr>
        <w:pStyle w:val="Heading2"/>
      </w:pPr>
      <w:r>
        <w:t>2.5. Тапсырыс берушінің міндеттері, құқықтар және жорамалдар</w:t>
      </w:r>
    </w:p>
    <w:p>
      <w:pPr>
        <w:pStyle w:val="ListBullet"/>
        <w:spacing w:after="40"/>
      </w:pPr>
      <w:r>
        <w:t>TechPoint күтілетін жұмыс кезеңдерін, рөлдерді, мәртебелерді, тестілеу үшін өкілді және қабылдау пікірін қамтамасыз етеді; нақты жауапты адам мен мерзім кейін анықталады.</w:t>
      </w:r>
    </w:p>
    <w:p>
      <w:pPr>
        <w:pStyle w:val="ListBullet"/>
        <w:spacing w:after="40"/>
      </w:pPr>
      <w:r>
        <w:t>Құпия өндірістік деректер оқу демосында пайдаланылмайды; бастапқы 20 жазба синтетикалық. Клиенттің нақты деректері тек заңды негіз, рұқсат және ҚР аумағында сақтау расталғанда өңделеді.</w:t>
      </w:r>
    </w:p>
    <w:p>
      <w:pPr>
        <w:pStyle w:val="ListBullet"/>
        <w:spacing w:after="40"/>
      </w:pPr>
      <w:r>
        <w:t>Қолданыстағы TechPoint деректері мен оның операциялық материалдары TechPoint бақылауында қалады. Кодты пайдалану/беру құқықтарының шарттары жеке жазбаша келісіммен бекітіледі; бұл SoW авторлық құқықты автоматты бермейді.</w:t>
      </w:r>
    </w:p>
    <w:p>
      <w:pPr>
        <w:pStyle w:val="ListBullet"/>
        <w:spacing w:after="40"/>
      </w:pPr>
      <w:r>
        <w:t>14 оқу аптасына 290 сағат жоспарлық жұмыс көлемі ЛЗ 5-тен алынған. Сыртқы ресурстар, бекіту, интернет және инфрақұрылым қолжетімділігі әзірше жорамал.</w:t>
      </w:r>
    </w:p>
    <w:p>
      <w:pPr>
        <w:pStyle w:val="Heading2"/>
      </w:pPr>
      <w:r>
        <w:t>2.6. Міндеттемеге жатпайтын жұмыстар</w:t>
      </w:r>
    </w:p>
    <w:p>
      <w:r>
        <w:t>Жүйені қабылдағаннан кейін тұрақты 24/7 қолдау, қосымша функция жасау, өндірістік деректерді көшіру, барлық ақаудың мүлдем болмайтынына кепілдік, ұзақмерзімді uptime кепілдігі және үшінші тарап платформаларының жұмысы MVP тапсыру міндетіне кірмейді. Қолдау, қателерді түзету кезеңі және келісімдік SLA бөлек шартта белгіленуі тиіс. Төмендегі SLA — келісілмеген нысаналы үлгі, қолданыстағы шарт емес.</w:t>
      </w:r>
    </w:p>
    <w:p>
      <w:pPr>
        <w:pStyle w:val="Heading1"/>
      </w:pPr>
      <w:r>
        <w:t>3. SLI / SLO / SLA: пайдаланушыға көрінетін сапа</w:t>
      </w:r>
    </w:p>
    <w:p>
      <w:r>
        <w:t>SLI — нақты өлшенетін көрсеткіш, SLO — команданың ішкі мақсаты, SLA — тапсырыс берушіге ұсынылатын (мұнда әлі бекітілмеген) жұмсақтау шек. Уақыт тек қызметкер Save/Іздеу әрекетін басқаннан кейінгі нәтижеге дейін өлшенеді; деректерді формаға қолмен енгізген уақыт кірмейді.</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cantSplit/>
        </w:trPr>
        <w:tc>
          <w:tcPr>
            <w:tcW w:type="dxa" w:w="2493"/>
            <w:vAlign w:val="center"/>
            <w:shd w:fill="17324D"/>
          </w:tcPr>
          <w:p>
            <w:pPr>
              <w:spacing w:after="20" w:before="20" w:line="240" w:lineRule="auto"/>
            </w:pPr>
            <w:r>
              <w:rPr>
                <w:rFonts w:ascii="Times New Roman" w:hAnsi="Times New Roman"/>
                <w:b/>
                <w:color w:val="FFFFFF"/>
                <w:sz w:val="19"/>
              </w:rPr>
              <w:t>Сценарий және SLI</w:t>
            </w:r>
          </w:p>
        </w:tc>
        <w:tc>
          <w:tcPr>
            <w:tcW w:type="dxa" w:w="2493"/>
            <w:vAlign w:val="center"/>
            <w:shd w:fill="17324D"/>
          </w:tcPr>
          <w:p>
            <w:pPr>
              <w:spacing w:after="20" w:before="20" w:line="240" w:lineRule="auto"/>
            </w:pPr>
            <w:r>
              <w:rPr>
                <w:rFonts w:ascii="Times New Roman" w:hAnsi="Times New Roman"/>
                <w:b/>
                <w:color w:val="FFFFFF"/>
                <w:sz w:val="19"/>
              </w:rPr>
              <w:t>Ішкі SLO</w:t>
            </w:r>
          </w:p>
        </w:tc>
        <w:tc>
          <w:tcPr>
            <w:tcW w:type="dxa" w:w="2493"/>
            <w:vAlign w:val="center"/>
            <w:shd w:fill="17324D"/>
          </w:tcPr>
          <w:p>
            <w:pPr>
              <w:spacing w:after="20" w:before="20" w:line="240" w:lineRule="auto"/>
            </w:pPr>
            <w:r>
              <w:rPr>
                <w:rFonts w:ascii="Times New Roman" w:hAnsi="Times New Roman"/>
                <w:b/>
                <w:color w:val="FFFFFF"/>
                <w:sz w:val="19"/>
              </w:rPr>
              <w:t>Ұсынылатын SLA</w:t>
            </w:r>
          </w:p>
        </w:tc>
        <w:tc>
          <w:tcPr>
            <w:tcW w:type="dxa" w:w="2493"/>
            <w:vAlign w:val="center"/>
            <w:shd w:fill="17324D"/>
          </w:tcPr>
          <w:p>
            <w:pPr>
              <w:spacing w:after="20" w:before="20" w:line="240" w:lineRule="auto"/>
            </w:pPr>
            <w:r>
              <w:rPr>
                <w:rFonts w:ascii="Times New Roman" w:hAnsi="Times New Roman"/>
                <w:b/>
                <w:color w:val="FFFFFF"/>
                <w:sz w:val="19"/>
              </w:rPr>
              <w:t>Айлық базалық көлем</w:t>
            </w:r>
          </w:p>
        </w:tc>
      </w:tr>
      <w:tr>
        <w:trPr>
          <w:cantSplit/>
        </w:trPr>
        <w:tc>
          <w:tcPr>
            <w:tcW w:type="dxa" w:w="2493"/>
            <w:vAlign w:val="center"/>
          </w:tcPr>
          <w:p>
            <w:pPr>
              <w:spacing w:after="20" w:before="20" w:line="240" w:lineRule="auto"/>
            </w:pPr>
            <w:r>
              <w:rPr>
                <w:rFonts w:ascii="Times New Roman" w:hAnsi="Times New Roman"/>
                <w:sz w:val="19"/>
              </w:rPr>
              <w:t>Тапсырысты сақтау: UI-та ID көрсетілді</w:t>
            </w:r>
          </w:p>
        </w:tc>
        <w:tc>
          <w:tcPr>
            <w:tcW w:type="dxa" w:w="2493"/>
            <w:vAlign w:val="center"/>
          </w:tcPr>
          <w:p>
            <w:pPr>
              <w:spacing w:after="20" w:before="20" w:line="240" w:lineRule="auto"/>
            </w:pPr>
            <w:r>
              <w:rPr>
                <w:rFonts w:ascii="Times New Roman" w:hAnsi="Times New Roman"/>
                <w:sz w:val="19"/>
              </w:rPr>
              <w:t>≥99,0% ≤2 сек</w:t>
            </w:r>
          </w:p>
        </w:tc>
        <w:tc>
          <w:tcPr>
            <w:tcW w:type="dxa" w:w="2493"/>
            <w:vAlign w:val="center"/>
          </w:tcPr>
          <w:p>
            <w:pPr>
              <w:spacing w:after="20" w:before="20" w:line="240" w:lineRule="auto"/>
            </w:pPr>
            <w:r>
              <w:rPr>
                <w:rFonts w:ascii="Times New Roman" w:hAnsi="Times New Roman"/>
                <w:sz w:val="19"/>
              </w:rPr>
              <w:t>≥98,5% ≤3 сек</w:t>
            </w:r>
          </w:p>
        </w:tc>
        <w:tc>
          <w:tcPr>
            <w:tcW w:type="dxa" w:w="2493"/>
            <w:vAlign w:val="center"/>
          </w:tcPr>
          <w:p>
            <w:pPr>
              <w:spacing w:after="20" w:before="20" w:line="240" w:lineRule="auto"/>
            </w:pPr>
            <w:r>
              <w:rPr>
                <w:rFonts w:ascii="Times New Roman" w:hAnsi="Times New Roman"/>
                <w:sz w:val="19"/>
              </w:rPr>
              <w:t>260 сақтау</w:t>
            </w:r>
          </w:p>
        </w:tc>
      </w:tr>
      <w:tr>
        <w:trPr>
          <w:cantSplit/>
        </w:trPr>
        <w:tc>
          <w:tcPr>
            <w:tcW w:type="dxa" w:w="2493"/>
            <w:vAlign w:val="center"/>
            <w:shd w:fill="EAF1F7"/>
          </w:tcPr>
          <w:p>
            <w:pPr>
              <w:spacing w:after="20" w:before="20" w:line="240" w:lineRule="auto"/>
            </w:pPr>
            <w:r>
              <w:rPr>
                <w:rFonts w:ascii="Times New Roman" w:hAnsi="Times New Roman"/>
                <w:sz w:val="19"/>
              </w:rPr>
              <w:t>Статус ауыстыру: рұқсат бар, audit жазылды</w:t>
            </w:r>
          </w:p>
        </w:tc>
        <w:tc>
          <w:tcPr>
            <w:tcW w:type="dxa" w:w="2493"/>
            <w:vAlign w:val="center"/>
            <w:shd w:fill="EAF1F7"/>
          </w:tcPr>
          <w:p>
            <w:pPr>
              <w:spacing w:after="20" w:before="20" w:line="240" w:lineRule="auto"/>
            </w:pPr>
            <w:r>
              <w:rPr>
                <w:rFonts w:ascii="Times New Roman" w:hAnsi="Times New Roman"/>
                <w:sz w:val="19"/>
              </w:rPr>
              <w:t>≥99,5% ≤2 сек</w:t>
            </w:r>
          </w:p>
        </w:tc>
        <w:tc>
          <w:tcPr>
            <w:tcW w:type="dxa" w:w="2493"/>
            <w:vAlign w:val="center"/>
            <w:shd w:fill="EAF1F7"/>
          </w:tcPr>
          <w:p>
            <w:pPr>
              <w:spacing w:after="20" w:before="20" w:line="240" w:lineRule="auto"/>
            </w:pPr>
            <w:r>
              <w:rPr>
                <w:rFonts w:ascii="Times New Roman" w:hAnsi="Times New Roman"/>
                <w:sz w:val="19"/>
              </w:rPr>
              <w:t>≥99,0% ≤3 сек</w:t>
            </w:r>
          </w:p>
        </w:tc>
        <w:tc>
          <w:tcPr>
            <w:tcW w:type="dxa" w:w="2493"/>
            <w:vAlign w:val="center"/>
            <w:shd w:fill="EAF1F7"/>
          </w:tcPr>
          <w:p>
            <w:pPr>
              <w:spacing w:after="20" w:before="20" w:line="240" w:lineRule="auto"/>
            </w:pPr>
            <w:r>
              <w:rPr>
                <w:rFonts w:ascii="Times New Roman" w:hAnsi="Times New Roman"/>
                <w:sz w:val="19"/>
              </w:rPr>
              <w:t>520 ауысу</w:t>
            </w:r>
          </w:p>
        </w:tc>
      </w:tr>
      <w:tr>
        <w:trPr>
          <w:cantSplit/>
        </w:trPr>
        <w:tc>
          <w:tcPr>
            <w:tcW w:type="dxa" w:w="2493"/>
            <w:vAlign w:val="center"/>
          </w:tcPr>
          <w:p>
            <w:pPr>
              <w:spacing w:after="20" w:before="20" w:line="240" w:lineRule="auto"/>
            </w:pPr>
            <w:r>
              <w:rPr>
                <w:rFonts w:ascii="Times New Roman" w:hAnsi="Times New Roman"/>
                <w:sz w:val="19"/>
              </w:rPr>
              <w:t>Іздеу: бар тапсырыс нәтижеден табылды</w:t>
            </w:r>
          </w:p>
        </w:tc>
        <w:tc>
          <w:tcPr>
            <w:tcW w:type="dxa" w:w="2493"/>
            <w:vAlign w:val="center"/>
          </w:tcPr>
          <w:p>
            <w:pPr>
              <w:spacing w:after="20" w:before="20" w:line="240" w:lineRule="auto"/>
            </w:pPr>
            <w:r>
              <w:rPr>
                <w:rFonts w:ascii="Times New Roman" w:hAnsi="Times New Roman"/>
                <w:sz w:val="19"/>
              </w:rPr>
              <w:t>≥99,0% ≤3 сек</w:t>
            </w:r>
          </w:p>
        </w:tc>
        <w:tc>
          <w:tcPr>
            <w:tcW w:type="dxa" w:w="2493"/>
            <w:vAlign w:val="center"/>
          </w:tcPr>
          <w:p>
            <w:pPr>
              <w:spacing w:after="20" w:before="20" w:line="240" w:lineRule="auto"/>
            </w:pPr>
            <w:r>
              <w:rPr>
                <w:rFonts w:ascii="Times New Roman" w:hAnsi="Times New Roman"/>
                <w:sz w:val="19"/>
              </w:rPr>
              <w:t>≥98,0% ≤4 сек</w:t>
            </w:r>
          </w:p>
        </w:tc>
        <w:tc>
          <w:tcPr>
            <w:tcW w:type="dxa" w:w="2493"/>
            <w:vAlign w:val="center"/>
          </w:tcPr>
          <w:p>
            <w:pPr>
              <w:spacing w:after="20" w:before="20" w:line="240" w:lineRule="auto"/>
            </w:pPr>
            <w:r>
              <w:rPr>
                <w:rFonts w:ascii="Times New Roman" w:hAnsi="Times New Roman"/>
                <w:sz w:val="19"/>
              </w:rPr>
              <w:t>1 040 іздеу</w:t>
            </w:r>
          </w:p>
        </w:tc>
      </w:tr>
    </w:tbl>
    <w:p>
      <w:r>
        <w:t>SLI тек 2xx статусына сүйенбейді: қате мазмұн, audit жазылмауы немесе интерфейсте нәтиже шықпауы — сәтсіз операция. Өлшеу көзі: frontend әрекет уақыты, API лог, audit жазбасы және тест мониторингі; ай сайын есептеледі. Сандар нақты тестпен расталған жоқ.</w:t>
      </w:r>
    </w:p>
    <w:p>
      <w:pPr>
        <w:pStyle w:val="Heading2"/>
      </w:pPr>
      <w:r>
        <w:t>3.1. Error budget және инцидент ережесі</w:t>
      </w:r>
    </w:p>
    <w:p>
      <w:r>
        <w:t>Қызмет көрсету кестесінің оқу болжамы: 26 күн × 12 сағ = 312 сағ/ай. Ішкі қолжетімділік SLO = 99,5%, сыртқы ұсыныс SLA = 99,0%. SLO қате бюджеті: 312 × (1 − 0,995) = 1,56 сағ = 93,6 минут/ай. SLA шегі: 312 × (1 − 0,99) = 3,12 сағ = 187,2 минут. Жұмыс уақытындағы жоспарлы тоқтау да есепке алынады.</w:t>
      </w:r>
    </w:p>
    <w:p>
      <w:r>
        <w:t>Операциялық error budget: 260 сақтау × 1% = 2,6 сәтсіздік (бүтін сан ретінде ең көбі 2); 520 статус × 0,5% = 2,6 (ең көбі 2); 1 040 іздеу × 1% = 10,4 (ең көбі 10). Нақты көлем өзгерсе, бөлінген бюджетті қайта есептеу керек.</w:t>
      </w:r>
    </w:p>
    <w:p>
      <w:pPr>
        <w:pStyle w:val="ListBullet"/>
        <w:spacing w:after="40"/>
      </w:pPr>
      <w:r>
        <w:t>50% (46,8 минут) жұмсалса — Амир жаңа функцияларды уақытша кейінге ысырып, ақау карточкасын ашады; Ханкелді лог, backup және негізгі тізбекті тексереді.</w:t>
      </w:r>
    </w:p>
    <w:p>
      <w:pPr>
        <w:pStyle w:val="ListBullet"/>
        <w:spacing w:after="40"/>
      </w:pPr>
      <w:r>
        <w:t>100% (93,6 минут) жұмсалса — жаңа релиз тоқтатылады, root-cause analysis, түзету жоспары және қайта тексеру міндетті; жүйенің тұрақтылығы қалпына келмейінше жаңа функция шығарылмайды.</w:t>
      </w:r>
    </w:p>
    <w:p>
      <w:pPr>
        <w:pStyle w:val="ListBullet"/>
        <w:spacing w:after="40"/>
      </w:pPr>
      <w:r>
        <w:t>Жеке деректердің жайылуы, тапсырыс жоғалуы немесе рұқсатты бұзу күтілмей P1 деңгейінде өңделеді. Төмен SLA орындалмаса, хабарлау/іс-шара тәртібі жеке келісімде нақтыланады.</w:t>
      </w:r>
    </w:p>
    <w:p>
      <w:pPr>
        <w:pStyle w:val="Heading1"/>
      </w:pPr>
      <w:r>
        <w:t>4. 12 айлық бюджет және юнит-экономика</w:t>
      </w:r>
    </w:p>
    <w:p>
      <w:r>
        <w:t>Қаржы моделі ЛЗ 3 базасымен сәйкес: бір реттік 825 000 ₸ (725 000 ₸ еңбек; 50 000 ₸ дерек көшіру; 35 000 ₸ оқыту; 15 000 ₸ ескі процестен шығу). Жылдық операциялық бюджет — 286 400 ₸; Excel-дегі әр ай мен 12 ай сомасы формуламен есептеледі.</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cantSplit/>
        </w:trPr>
        <w:tc>
          <w:tcPr>
            <w:tcW w:type="dxa" w:w="2493"/>
            <w:vAlign w:val="center"/>
            <w:shd w:fill="17324D"/>
          </w:tcPr>
          <w:p>
            <w:pPr>
              <w:spacing w:after="20" w:before="20" w:line="240" w:lineRule="auto"/>
            </w:pPr>
            <w:r>
              <w:rPr>
                <w:rFonts w:ascii="Times New Roman" w:hAnsi="Times New Roman"/>
                <w:b/>
                <w:color w:val="FFFFFF"/>
                <w:sz w:val="19"/>
              </w:rPr>
              <w:t>Операциялық бап</w:t>
            </w:r>
          </w:p>
        </w:tc>
        <w:tc>
          <w:tcPr>
            <w:tcW w:type="dxa" w:w="2493"/>
            <w:vAlign w:val="center"/>
            <w:shd w:fill="17324D"/>
          </w:tcPr>
          <w:p>
            <w:pPr>
              <w:spacing w:after="20" w:before="20" w:line="240" w:lineRule="auto"/>
            </w:pPr>
            <w:r>
              <w:rPr>
                <w:rFonts w:ascii="Times New Roman" w:hAnsi="Times New Roman"/>
                <w:b/>
                <w:color w:val="FFFFFF"/>
                <w:sz w:val="19"/>
              </w:rPr>
              <w:t>Ай сайын, ₸</w:t>
            </w:r>
          </w:p>
        </w:tc>
        <w:tc>
          <w:tcPr>
            <w:tcW w:type="dxa" w:w="2493"/>
            <w:vAlign w:val="center"/>
            <w:shd w:fill="17324D"/>
          </w:tcPr>
          <w:p>
            <w:pPr>
              <w:spacing w:after="20" w:before="20" w:line="240" w:lineRule="auto"/>
            </w:pPr>
            <w:r>
              <w:rPr>
                <w:rFonts w:ascii="Times New Roman" w:hAnsi="Times New Roman"/>
                <w:b/>
                <w:color w:val="FFFFFF"/>
                <w:sz w:val="19"/>
              </w:rPr>
              <w:t>12 ай, ₸</w:t>
            </w:r>
          </w:p>
        </w:tc>
        <w:tc>
          <w:tcPr>
            <w:tcW w:type="dxa" w:w="2493"/>
            <w:vAlign w:val="center"/>
            <w:shd w:fill="17324D"/>
          </w:tcPr>
          <w:p>
            <w:pPr>
              <w:spacing w:after="20" w:before="20" w:line="240" w:lineRule="auto"/>
            </w:pPr>
            <w:r>
              <w:rPr>
                <w:rFonts w:ascii="Times New Roman" w:hAnsi="Times New Roman"/>
                <w:b/>
                <w:color w:val="FFFFFF"/>
                <w:sz w:val="19"/>
              </w:rPr>
              <w:t>Негізі</w:t>
            </w:r>
          </w:p>
        </w:tc>
      </w:tr>
      <w:tr>
        <w:trPr>
          <w:cantSplit/>
        </w:trPr>
        <w:tc>
          <w:tcPr>
            <w:tcW w:type="dxa" w:w="2493"/>
            <w:vAlign w:val="center"/>
          </w:tcPr>
          <w:p>
            <w:pPr>
              <w:spacing w:after="20" w:before="20" w:line="240" w:lineRule="auto"/>
            </w:pPr>
            <w:r>
              <w:rPr>
                <w:rFonts w:ascii="Times New Roman" w:hAnsi="Times New Roman"/>
                <w:sz w:val="19"/>
              </w:rPr>
              <w:t>Hoster Cloud 2-4-50 VPS</w:t>
            </w:r>
          </w:p>
        </w:tc>
        <w:tc>
          <w:tcPr>
            <w:tcW w:type="dxa" w:w="2493"/>
            <w:vAlign w:val="center"/>
          </w:tcPr>
          <w:p>
            <w:pPr>
              <w:spacing w:after="20" w:before="20" w:line="240" w:lineRule="auto"/>
            </w:pPr>
            <w:r>
              <w:rPr>
                <w:rFonts w:ascii="Times New Roman" w:hAnsi="Times New Roman"/>
                <w:sz w:val="19"/>
              </w:rPr>
              <w:t>7 600</w:t>
            </w:r>
          </w:p>
        </w:tc>
        <w:tc>
          <w:tcPr>
            <w:tcW w:type="dxa" w:w="2493"/>
            <w:vAlign w:val="center"/>
          </w:tcPr>
          <w:p>
            <w:pPr>
              <w:spacing w:after="20" w:before="20" w:line="240" w:lineRule="auto"/>
            </w:pPr>
            <w:r>
              <w:rPr>
                <w:rFonts w:ascii="Times New Roman" w:hAnsi="Times New Roman"/>
                <w:sz w:val="19"/>
              </w:rPr>
              <w:t>91 200</w:t>
            </w:r>
          </w:p>
        </w:tc>
        <w:tc>
          <w:tcPr>
            <w:tcW w:type="dxa" w:w="2493"/>
            <w:vAlign w:val="center"/>
          </w:tcPr>
          <w:p>
            <w:pPr>
              <w:spacing w:after="20" w:before="20" w:line="240" w:lineRule="auto"/>
            </w:pPr>
            <w:r>
              <w:rPr>
                <w:rFonts w:ascii="Times New Roman" w:hAnsi="Times New Roman"/>
                <w:sz w:val="19"/>
              </w:rPr>
              <w:t>Жария тариф</w:t>
            </w:r>
          </w:p>
        </w:tc>
      </w:tr>
      <w:tr>
        <w:trPr>
          <w:cantSplit/>
        </w:trPr>
        <w:tc>
          <w:tcPr>
            <w:tcW w:type="dxa" w:w="2493"/>
            <w:vAlign w:val="center"/>
            <w:shd w:fill="EAF1F7"/>
          </w:tcPr>
          <w:p>
            <w:pPr>
              <w:spacing w:after="20" w:before="20" w:line="240" w:lineRule="auto"/>
            </w:pPr>
            <w:r>
              <w:rPr>
                <w:rFonts w:ascii="Times New Roman" w:hAnsi="Times New Roman"/>
                <w:sz w:val="19"/>
              </w:rPr>
              <w:t>Backup және тексеру</w:t>
            </w:r>
          </w:p>
        </w:tc>
        <w:tc>
          <w:tcPr>
            <w:tcW w:type="dxa" w:w="2493"/>
            <w:vAlign w:val="center"/>
            <w:shd w:fill="EAF1F7"/>
          </w:tcPr>
          <w:p>
            <w:pPr>
              <w:spacing w:after="20" w:before="20" w:line="240" w:lineRule="auto"/>
            </w:pPr>
            <w:r>
              <w:rPr>
                <w:rFonts w:ascii="Times New Roman" w:hAnsi="Times New Roman"/>
                <w:sz w:val="19"/>
              </w:rPr>
              <w:t>1 800</w:t>
            </w:r>
          </w:p>
        </w:tc>
        <w:tc>
          <w:tcPr>
            <w:tcW w:type="dxa" w:w="2493"/>
            <w:vAlign w:val="center"/>
            <w:shd w:fill="EAF1F7"/>
          </w:tcPr>
          <w:p>
            <w:pPr>
              <w:spacing w:after="20" w:before="20" w:line="240" w:lineRule="auto"/>
            </w:pPr>
            <w:r>
              <w:rPr>
                <w:rFonts w:ascii="Times New Roman" w:hAnsi="Times New Roman"/>
                <w:sz w:val="19"/>
              </w:rPr>
              <w:t>21 600</w:t>
            </w:r>
          </w:p>
        </w:tc>
        <w:tc>
          <w:tcPr>
            <w:tcW w:type="dxa" w:w="2493"/>
            <w:vAlign w:val="center"/>
            <w:shd w:fill="EAF1F7"/>
          </w:tcPr>
          <w:p>
            <w:pPr>
              <w:spacing w:after="20" w:before="20" w:line="240" w:lineRule="auto"/>
            </w:pPr>
            <w:r>
              <w:rPr>
                <w:rFonts w:ascii="Times New Roman" w:hAnsi="Times New Roman"/>
                <w:sz w:val="19"/>
              </w:rPr>
              <w:t>Оқу болжамы</w:t>
            </w:r>
          </w:p>
        </w:tc>
      </w:tr>
      <w:tr>
        <w:trPr>
          <w:cantSplit/>
        </w:trPr>
        <w:tc>
          <w:tcPr>
            <w:tcW w:type="dxa" w:w="2493"/>
            <w:vAlign w:val="center"/>
          </w:tcPr>
          <w:p>
            <w:pPr>
              <w:spacing w:after="20" w:before="20" w:line="240" w:lineRule="auto"/>
            </w:pPr>
            <w:r>
              <w:rPr>
                <w:rFonts w:ascii="Times New Roman" w:hAnsi="Times New Roman"/>
                <w:sz w:val="19"/>
              </w:rPr>
              <w:t>Домен/DNS</w:t>
            </w:r>
          </w:p>
        </w:tc>
        <w:tc>
          <w:tcPr>
            <w:tcW w:type="dxa" w:w="2493"/>
            <w:vAlign w:val="center"/>
          </w:tcPr>
          <w:p>
            <w:pPr>
              <w:spacing w:after="20" w:before="20" w:line="240" w:lineRule="auto"/>
            </w:pPr>
            <w:r>
              <w:rPr>
                <w:rFonts w:ascii="Times New Roman" w:hAnsi="Times New Roman"/>
                <w:sz w:val="19"/>
              </w:rPr>
              <w:t>—</w:t>
            </w:r>
          </w:p>
        </w:tc>
        <w:tc>
          <w:tcPr>
            <w:tcW w:type="dxa" w:w="2493"/>
            <w:vAlign w:val="center"/>
          </w:tcPr>
          <w:p>
            <w:pPr>
              <w:spacing w:after="20" w:before="20" w:line="240" w:lineRule="auto"/>
            </w:pPr>
            <w:r>
              <w:rPr>
                <w:rFonts w:ascii="Times New Roman" w:hAnsi="Times New Roman"/>
                <w:sz w:val="19"/>
              </w:rPr>
              <w:t>5 600</w:t>
            </w:r>
          </w:p>
        </w:tc>
        <w:tc>
          <w:tcPr>
            <w:tcW w:type="dxa" w:w="2493"/>
            <w:vAlign w:val="center"/>
          </w:tcPr>
          <w:p>
            <w:pPr>
              <w:spacing w:after="20" w:before="20" w:line="240" w:lineRule="auto"/>
            </w:pPr>
            <w:r>
              <w:rPr>
                <w:rFonts w:ascii="Times New Roman" w:hAnsi="Times New Roman"/>
                <w:sz w:val="19"/>
              </w:rPr>
              <w:t>Жылына бір рет, болжам</w:t>
            </w:r>
          </w:p>
        </w:tc>
      </w:tr>
      <w:tr>
        <w:trPr>
          <w:cantSplit/>
        </w:trPr>
        <w:tc>
          <w:tcPr>
            <w:tcW w:type="dxa" w:w="2493"/>
            <w:vAlign w:val="center"/>
            <w:shd w:fill="EAF1F7"/>
          </w:tcPr>
          <w:p>
            <w:pPr>
              <w:spacing w:after="20" w:before="20" w:line="240" w:lineRule="auto"/>
            </w:pPr>
            <w:r>
              <w:rPr>
                <w:rFonts w:ascii="Times New Roman" w:hAnsi="Times New Roman"/>
                <w:sz w:val="19"/>
              </w:rPr>
              <w:t>Техникалық қолдау, 4 сағ</w:t>
            </w:r>
          </w:p>
        </w:tc>
        <w:tc>
          <w:tcPr>
            <w:tcW w:type="dxa" w:w="2493"/>
            <w:vAlign w:val="center"/>
            <w:shd w:fill="EAF1F7"/>
          </w:tcPr>
          <w:p>
            <w:pPr>
              <w:spacing w:after="20" w:before="20" w:line="240" w:lineRule="auto"/>
            </w:pPr>
            <w:r>
              <w:rPr>
                <w:rFonts w:ascii="Times New Roman" w:hAnsi="Times New Roman"/>
                <w:sz w:val="19"/>
              </w:rPr>
              <w:t>14 000</w:t>
            </w:r>
          </w:p>
        </w:tc>
        <w:tc>
          <w:tcPr>
            <w:tcW w:type="dxa" w:w="2493"/>
            <w:vAlign w:val="center"/>
            <w:shd w:fill="EAF1F7"/>
          </w:tcPr>
          <w:p>
            <w:pPr>
              <w:spacing w:after="20" w:before="20" w:line="240" w:lineRule="auto"/>
            </w:pPr>
            <w:r>
              <w:rPr>
                <w:rFonts w:ascii="Times New Roman" w:hAnsi="Times New Roman"/>
                <w:sz w:val="19"/>
              </w:rPr>
              <w:t>168 000</w:t>
            </w:r>
          </w:p>
        </w:tc>
        <w:tc>
          <w:tcPr>
            <w:tcW w:type="dxa" w:w="2493"/>
            <w:vAlign w:val="center"/>
            <w:shd w:fill="EAF1F7"/>
          </w:tcPr>
          <w:p>
            <w:pPr>
              <w:spacing w:after="20" w:before="20" w:line="240" w:lineRule="auto"/>
            </w:pPr>
            <w:r>
              <w:rPr>
                <w:rFonts w:ascii="Times New Roman" w:hAnsi="Times New Roman"/>
                <w:sz w:val="19"/>
              </w:rPr>
              <w:t>4 × 3 500 ₸ болжам</w:t>
            </w:r>
          </w:p>
        </w:tc>
      </w:tr>
      <w:tr>
        <w:trPr>
          <w:cantSplit/>
        </w:trPr>
        <w:tc>
          <w:tcPr>
            <w:tcW w:type="dxa" w:w="2493"/>
            <w:vAlign w:val="center"/>
          </w:tcPr>
          <w:p>
            <w:pPr>
              <w:spacing w:after="20" w:before="20" w:line="240" w:lineRule="auto"/>
            </w:pPr>
            <w:r>
              <w:rPr>
                <w:rFonts w:ascii="Times New Roman" w:hAnsi="Times New Roman"/>
                <w:sz w:val="19"/>
              </w:rPr>
              <w:t>OPEX — барлығы</w:t>
            </w:r>
          </w:p>
        </w:tc>
        <w:tc>
          <w:tcPr>
            <w:tcW w:type="dxa" w:w="2493"/>
            <w:vAlign w:val="center"/>
          </w:tcPr>
          <w:p>
            <w:pPr>
              <w:spacing w:after="20" w:before="20" w:line="240" w:lineRule="auto"/>
            </w:pPr>
            <w:r>
              <w:rPr>
                <w:rFonts w:ascii="Times New Roman" w:hAnsi="Times New Roman"/>
                <w:sz w:val="19"/>
              </w:rPr>
              <w:t>23 866,67*</w:t>
            </w:r>
          </w:p>
        </w:tc>
        <w:tc>
          <w:tcPr>
            <w:tcW w:type="dxa" w:w="2493"/>
            <w:vAlign w:val="center"/>
          </w:tcPr>
          <w:p>
            <w:pPr>
              <w:spacing w:after="20" w:before="20" w:line="240" w:lineRule="auto"/>
            </w:pPr>
            <w:r>
              <w:rPr>
                <w:rFonts w:ascii="Times New Roman" w:hAnsi="Times New Roman"/>
                <w:sz w:val="19"/>
              </w:rPr>
              <w:t>286 400</w:t>
            </w:r>
          </w:p>
        </w:tc>
        <w:tc>
          <w:tcPr>
            <w:tcW w:type="dxa" w:w="2493"/>
            <w:vAlign w:val="center"/>
          </w:tcPr>
          <w:p>
            <w:pPr>
              <w:spacing w:after="20" w:before="20" w:line="240" w:lineRule="auto"/>
            </w:pPr>
            <w:r>
              <w:rPr>
                <w:rFonts w:ascii="Times New Roman" w:hAnsi="Times New Roman"/>
                <w:sz w:val="19"/>
              </w:rPr>
              <w:t>Формуламен</w:t>
            </w:r>
          </w:p>
        </w:tc>
      </w:tr>
      <w:tr>
        <w:trPr>
          <w:cantSplit/>
        </w:trPr>
        <w:tc>
          <w:tcPr>
            <w:tcW w:type="dxa" w:w="2493"/>
            <w:vAlign w:val="center"/>
            <w:shd w:fill="EAF1F7"/>
          </w:tcPr>
          <w:p>
            <w:pPr>
              <w:spacing w:after="20" w:before="20" w:line="240" w:lineRule="auto"/>
            </w:pPr>
            <w:r>
              <w:rPr>
                <w:rFonts w:ascii="Times New Roman" w:hAnsi="Times New Roman"/>
                <w:sz w:val="19"/>
              </w:rPr>
              <w:t>Бір реттік CAPEX</w:t>
            </w:r>
          </w:p>
        </w:tc>
        <w:tc>
          <w:tcPr>
            <w:tcW w:type="dxa" w:w="2493"/>
            <w:vAlign w:val="center"/>
            <w:shd w:fill="EAF1F7"/>
          </w:tcPr>
          <w:p>
            <w:pPr>
              <w:spacing w:after="20" w:before="20" w:line="240" w:lineRule="auto"/>
            </w:pPr>
            <w:r>
              <w:rPr>
                <w:rFonts w:ascii="Times New Roman" w:hAnsi="Times New Roman"/>
                <w:sz w:val="19"/>
              </w:rPr>
              <w:t>—</w:t>
            </w:r>
          </w:p>
        </w:tc>
        <w:tc>
          <w:tcPr>
            <w:tcW w:type="dxa" w:w="2493"/>
            <w:vAlign w:val="center"/>
            <w:shd w:fill="EAF1F7"/>
          </w:tcPr>
          <w:p>
            <w:pPr>
              <w:spacing w:after="20" w:before="20" w:line="240" w:lineRule="auto"/>
            </w:pPr>
            <w:r>
              <w:rPr>
                <w:rFonts w:ascii="Times New Roman" w:hAnsi="Times New Roman"/>
                <w:sz w:val="19"/>
              </w:rPr>
              <w:t>825 000</w:t>
            </w:r>
          </w:p>
        </w:tc>
        <w:tc>
          <w:tcPr>
            <w:tcW w:type="dxa" w:w="2493"/>
            <w:vAlign w:val="center"/>
            <w:shd w:fill="EAF1F7"/>
          </w:tcPr>
          <w:p>
            <w:pPr>
              <w:spacing w:after="20" w:before="20" w:line="240" w:lineRule="auto"/>
            </w:pPr>
            <w:r>
              <w:rPr>
                <w:rFonts w:ascii="Times New Roman" w:hAnsi="Times New Roman"/>
                <w:sz w:val="19"/>
              </w:rPr>
              <w:t>ЛЗ 3</w:t>
            </w:r>
          </w:p>
        </w:tc>
      </w:tr>
      <w:tr>
        <w:trPr>
          <w:cantSplit/>
        </w:trPr>
        <w:tc>
          <w:tcPr>
            <w:tcW w:type="dxa" w:w="2493"/>
            <w:vAlign w:val="center"/>
          </w:tcPr>
          <w:p>
            <w:pPr>
              <w:spacing w:after="20" w:before="20" w:line="240" w:lineRule="auto"/>
            </w:pPr>
            <w:r>
              <w:rPr>
                <w:rFonts w:ascii="Times New Roman" w:hAnsi="Times New Roman"/>
                <w:sz w:val="19"/>
              </w:rPr>
              <w:t>1-жылдың толық бюджеті</w:t>
            </w:r>
          </w:p>
        </w:tc>
        <w:tc>
          <w:tcPr>
            <w:tcW w:type="dxa" w:w="2493"/>
            <w:vAlign w:val="center"/>
          </w:tcPr>
          <w:p>
            <w:pPr>
              <w:spacing w:after="20" w:before="20" w:line="240" w:lineRule="auto"/>
            </w:pPr>
            <w:r>
              <w:rPr>
                <w:rFonts w:ascii="Times New Roman" w:hAnsi="Times New Roman"/>
                <w:sz w:val="19"/>
              </w:rPr>
              <w:t>—</w:t>
            </w:r>
          </w:p>
        </w:tc>
        <w:tc>
          <w:tcPr>
            <w:tcW w:type="dxa" w:w="2493"/>
            <w:vAlign w:val="center"/>
          </w:tcPr>
          <w:p>
            <w:pPr>
              <w:spacing w:after="20" w:before="20" w:line="240" w:lineRule="auto"/>
            </w:pPr>
            <w:r>
              <w:rPr>
                <w:rFonts w:ascii="Times New Roman" w:hAnsi="Times New Roman"/>
                <w:sz w:val="19"/>
              </w:rPr>
              <w:t>1 111 400</w:t>
            </w:r>
          </w:p>
        </w:tc>
        <w:tc>
          <w:tcPr>
            <w:tcW w:type="dxa" w:w="2493"/>
            <w:vAlign w:val="center"/>
          </w:tcPr>
          <w:p>
            <w:pPr>
              <w:spacing w:after="20" w:before="20" w:line="240" w:lineRule="auto"/>
            </w:pPr>
            <w:r>
              <w:rPr>
                <w:rFonts w:ascii="Times New Roman" w:hAnsi="Times New Roman"/>
                <w:sz w:val="19"/>
              </w:rPr>
              <w:t>CAPEX + OPEX</w:t>
            </w:r>
          </w:p>
        </w:tc>
      </w:tr>
    </w:tbl>
    <w:p>
      <w:r>
        <w:t>* 23 866,67 ₸ — жылдық шығынды 12 айға бөлген орташа мән, өйткені домен төлемі бірінші айда бір рет есептеледі.</w:t>
      </w:r>
    </w:p>
    <w:p>
      <w:r>
        <w:t>Жүктелген еңбек құны = 300 000 / 168 × 1,12 = 2 000 ₸/сағ. Бір тапсырыста есептік үнем = (18 − 7) / 60 × 2 000 × 80% = 293,33 ₸. Бұл тікелей касса кірісі емес, босайтын еңбек уақытының ақшалай бағасы.</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4986"/>
            <w:vAlign w:val="center"/>
            <w:shd w:fill="17324D"/>
          </w:tcPr>
          <w:p>
            <w:pPr>
              <w:spacing w:after="20" w:before="20" w:line="240" w:lineRule="auto"/>
            </w:pPr>
            <w:r>
              <w:rPr>
                <w:rFonts w:ascii="Times New Roman" w:hAnsi="Times New Roman"/>
                <w:b/>
                <w:color w:val="FFFFFF"/>
                <w:sz w:val="21"/>
              </w:rPr>
              <w:t>Бірлік экономика көрсеткіші</w:t>
            </w:r>
          </w:p>
        </w:tc>
        <w:tc>
          <w:tcPr>
            <w:tcW w:type="dxa" w:w="4986"/>
            <w:vAlign w:val="center"/>
            <w:shd w:fill="17324D"/>
          </w:tcPr>
          <w:p>
            <w:pPr>
              <w:spacing w:after="20" w:before="20" w:line="240" w:lineRule="auto"/>
            </w:pPr>
            <w:r>
              <w:rPr>
                <w:rFonts w:ascii="Times New Roman" w:hAnsi="Times New Roman"/>
                <w:b/>
                <w:color w:val="FFFFFF"/>
                <w:sz w:val="21"/>
              </w:rPr>
              <w:t>Мән</w:t>
            </w:r>
          </w:p>
        </w:tc>
      </w:tr>
      <w:tr>
        <w:trPr>
          <w:cantSplit/>
        </w:trPr>
        <w:tc>
          <w:tcPr>
            <w:tcW w:type="dxa" w:w="4986"/>
            <w:vAlign w:val="center"/>
          </w:tcPr>
          <w:p>
            <w:pPr>
              <w:spacing w:after="20" w:before="20" w:line="240" w:lineRule="auto"/>
            </w:pPr>
            <w:r>
              <w:rPr>
                <w:rFonts w:ascii="Times New Roman" w:hAnsi="Times New Roman"/>
                <w:sz w:val="21"/>
              </w:rPr>
              <w:t>Бір пайдаланушыға айлық OPEX</w:t>
            </w:r>
          </w:p>
        </w:tc>
        <w:tc>
          <w:tcPr>
            <w:tcW w:type="dxa" w:w="4986"/>
            <w:vAlign w:val="center"/>
          </w:tcPr>
          <w:p>
            <w:pPr>
              <w:spacing w:after="20" w:before="20" w:line="240" w:lineRule="auto"/>
            </w:pPr>
            <w:r>
              <w:rPr>
                <w:rFonts w:ascii="Times New Roman" w:hAnsi="Times New Roman"/>
                <w:sz w:val="21"/>
              </w:rPr>
              <w:t>4 773,33 ₸</w:t>
            </w:r>
          </w:p>
        </w:tc>
      </w:tr>
      <w:tr>
        <w:trPr>
          <w:cantSplit/>
        </w:trPr>
        <w:tc>
          <w:tcPr>
            <w:tcW w:type="dxa" w:w="4986"/>
            <w:vAlign w:val="center"/>
            <w:shd w:fill="EAF1F7"/>
          </w:tcPr>
          <w:p>
            <w:pPr>
              <w:spacing w:after="20" w:before="20" w:line="240" w:lineRule="auto"/>
            </w:pPr>
            <w:r>
              <w:rPr>
                <w:rFonts w:ascii="Times New Roman" w:hAnsi="Times New Roman"/>
                <w:sz w:val="21"/>
              </w:rPr>
              <w:t>Бір тапсырысқа айлық OPEX</w:t>
            </w:r>
          </w:p>
        </w:tc>
        <w:tc>
          <w:tcPr>
            <w:tcW w:type="dxa" w:w="4986"/>
            <w:vAlign w:val="center"/>
            <w:shd w:fill="EAF1F7"/>
          </w:tcPr>
          <w:p>
            <w:pPr>
              <w:spacing w:after="20" w:before="20" w:line="240" w:lineRule="auto"/>
            </w:pPr>
            <w:r>
              <w:rPr>
                <w:rFonts w:ascii="Times New Roman" w:hAnsi="Times New Roman"/>
                <w:sz w:val="21"/>
              </w:rPr>
              <w:t>91,79 ₸</w:t>
            </w:r>
          </w:p>
        </w:tc>
      </w:tr>
      <w:tr>
        <w:trPr>
          <w:cantSplit/>
        </w:trPr>
        <w:tc>
          <w:tcPr>
            <w:tcW w:type="dxa" w:w="4986"/>
            <w:vAlign w:val="center"/>
          </w:tcPr>
          <w:p>
            <w:pPr>
              <w:spacing w:after="20" w:before="20" w:line="240" w:lineRule="auto"/>
            </w:pPr>
            <w:r>
              <w:rPr>
                <w:rFonts w:ascii="Times New Roman" w:hAnsi="Times New Roman"/>
                <w:sz w:val="21"/>
              </w:rPr>
              <w:t>CAPEX-ті 36 айға бөлген айлық толық шығын</w:t>
            </w:r>
          </w:p>
        </w:tc>
        <w:tc>
          <w:tcPr>
            <w:tcW w:type="dxa" w:w="4986"/>
            <w:vAlign w:val="center"/>
          </w:tcPr>
          <w:p>
            <w:pPr>
              <w:spacing w:after="20" w:before="20" w:line="240" w:lineRule="auto"/>
            </w:pPr>
            <w:r>
              <w:rPr>
                <w:rFonts w:ascii="Times New Roman" w:hAnsi="Times New Roman"/>
                <w:sz w:val="21"/>
              </w:rPr>
              <w:t>46 783,33 ₸</w:t>
            </w:r>
          </w:p>
        </w:tc>
      </w:tr>
      <w:tr>
        <w:trPr>
          <w:cantSplit/>
        </w:trPr>
        <w:tc>
          <w:tcPr>
            <w:tcW w:type="dxa" w:w="4986"/>
            <w:vAlign w:val="center"/>
            <w:shd w:fill="EAF1F7"/>
          </w:tcPr>
          <w:p>
            <w:pPr>
              <w:spacing w:after="20" w:before="20" w:line="240" w:lineRule="auto"/>
            </w:pPr>
            <w:r>
              <w:rPr>
                <w:rFonts w:ascii="Times New Roman" w:hAnsi="Times New Roman"/>
                <w:sz w:val="21"/>
              </w:rPr>
              <w:t>Толық шығын / пайдаланушы</w:t>
            </w:r>
          </w:p>
        </w:tc>
        <w:tc>
          <w:tcPr>
            <w:tcW w:type="dxa" w:w="4986"/>
            <w:vAlign w:val="center"/>
            <w:shd w:fill="EAF1F7"/>
          </w:tcPr>
          <w:p>
            <w:pPr>
              <w:spacing w:after="20" w:before="20" w:line="240" w:lineRule="auto"/>
            </w:pPr>
            <w:r>
              <w:rPr>
                <w:rFonts w:ascii="Times New Roman" w:hAnsi="Times New Roman"/>
                <w:sz w:val="21"/>
              </w:rPr>
              <w:t>9 356,67 ₸/ай</w:t>
            </w:r>
          </w:p>
        </w:tc>
      </w:tr>
      <w:tr>
        <w:trPr>
          <w:cantSplit/>
        </w:trPr>
        <w:tc>
          <w:tcPr>
            <w:tcW w:type="dxa" w:w="4986"/>
            <w:vAlign w:val="center"/>
          </w:tcPr>
          <w:p>
            <w:pPr>
              <w:spacing w:after="20" w:before="20" w:line="240" w:lineRule="auto"/>
            </w:pPr>
            <w:r>
              <w:rPr>
                <w:rFonts w:ascii="Times New Roman" w:hAnsi="Times New Roman"/>
                <w:sz w:val="21"/>
              </w:rPr>
              <w:t>Толық шығын / тапсырыс</w:t>
            </w:r>
          </w:p>
        </w:tc>
        <w:tc>
          <w:tcPr>
            <w:tcW w:type="dxa" w:w="4986"/>
            <w:vAlign w:val="center"/>
          </w:tcPr>
          <w:p>
            <w:pPr>
              <w:spacing w:after="20" w:before="20" w:line="240" w:lineRule="auto"/>
            </w:pPr>
            <w:r>
              <w:rPr>
                <w:rFonts w:ascii="Times New Roman" w:hAnsi="Times New Roman"/>
                <w:sz w:val="21"/>
              </w:rPr>
              <w:t>179,94 ₸</w:t>
            </w:r>
          </w:p>
        </w:tc>
      </w:tr>
      <w:tr>
        <w:trPr>
          <w:cantSplit/>
        </w:trPr>
        <w:tc>
          <w:tcPr>
            <w:tcW w:type="dxa" w:w="4986"/>
            <w:vAlign w:val="center"/>
            <w:shd w:fill="EAF1F7"/>
          </w:tcPr>
          <w:p>
            <w:pPr>
              <w:spacing w:after="20" w:before="20" w:line="240" w:lineRule="auto"/>
            </w:pPr>
            <w:r>
              <w:rPr>
                <w:rFonts w:ascii="Times New Roman" w:hAnsi="Times New Roman"/>
                <w:sz w:val="21"/>
              </w:rPr>
              <w:t>Тек OPEX ақталатын тапсырыс саны</w:t>
            </w:r>
          </w:p>
        </w:tc>
        <w:tc>
          <w:tcPr>
            <w:tcW w:type="dxa" w:w="4986"/>
            <w:vAlign w:val="center"/>
            <w:shd w:fill="EAF1F7"/>
          </w:tcPr>
          <w:p>
            <w:pPr>
              <w:spacing w:after="20" w:before="20" w:line="240" w:lineRule="auto"/>
            </w:pPr>
            <w:r>
              <w:rPr>
                <w:rFonts w:ascii="Times New Roman" w:hAnsi="Times New Roman"/>
                <w:sz w:val="21"/>
              </w:rPr>
              <w:t>82 тапсырыс/ай</w:t>
            </w:r>
          </w:p>
        </w:tc>
      </w:tr>
      <w:tr>
        <w:trPr>
          <w:cantSplit/>
        </w:trPr>
        <w:tc>
          <w:tcPr>
            <w:tcW w:type="dxa" w:w="4986"/>
            <w:vAlign w:val="center"/>
          </w:tcPr>
          <w:p>
            <w:pPr>
              <w:spacing w:after="20" w:before="20" w:line="240" w:lineRule="auto"/>
            </w:pPr>
            <w:r>
              <w:rPr>
                <w:rFonts w:ascii="Times New Roman" w:hAnsi="Times New Roman"/>
                <w:sz w:val="21"/>
              </w:rPr>
              <w:t>CAPEX + OPEX ақталатын көлем</w:t>
            </w:r>
          </w:p>
        </w:tc>
        <w:tc>
          <w:tcPr>
            <w:tcW w:type="dxa" w:w="4986"/>
            <w:vAlign w:val="center"/>
          </w:tcPr>
          <w:p>
            <w:pPr>
              <w:spacing w:after="20" w:before="20" w:line="240" w:lineRule="auto"/>
            </w:pPr>
            <w:r>
              <w:rPr>
                <w:rFonts w:ascii="Times New Roman" w:hAnsi="Times New Roman"/>
                <w:sz w:val="21"/>
              </w:rPr>
              <w:t>160 тапсырыс/ай</w:t>
            </w:r>
          </w:p>
        </w:tc>
      </w:tr>
      <w:tr>
        <w:trPr>
          <w:cantSplit/>
        </w:trPr>
        <w:tc>
          <w:tcPr>
            <w:tcW w:type="dxa" w:w="4986"/>
            <w:vAlign w:val="center"/>
            <w:shd w:fill="EAF1F7"/>
          </w:tcPr>
          <w:p>
            <w:pPr>
              <w:spacing w:after="20" w:before="20" w:line="240" w:lineRule="auto"/>
            </w:pPr>
            <w:r>
              <w:rPr>
                <w:rFonts w:ascii="Times New Roman" w:hAnsi="Times New Roman"/>
                <w:sz w:val="21"/>
              </w:rPr>
              <w:t>260 тапсырыстағы толық айлық үнем әлеуеті</w:t>
            </w:r>
          </w:p>
        </w:tc>
        <w:tc>
          <w:tcPr>
            <w:tcW w:type="dxa" w:w="4986"/>
            <w:vAlign w:val="center"/>
            <w:shd w:fill="EAF1F7"/>
          </w:tcPr>
          <w:p>
            <w:pPr>
              <w:spacing w:after="20" w:before="20" w:line="240" w:lineRule="auto"/>
            </w:pPr>
            <w:r>
              <w:rPr>
                <w:rFonts w:ascii="Times New Roman" w:hAnsi="Times New Roman"/>
                <w:sz w:val="21"/>
              </w:rPr>
              <w:t>76 266,67 ₸</w:t>
            </w:r>
          </w:p>
        </w:tc>
      </w:tr>
    </w:tbl>
    <w:p>
      <w:r>
        <w:t>Модельдік формула: Q* = CEILING[(286 400 / 12 + 825 000 / 36) / 293,33] = 160 тапсырыс/ай. Алғашқы жылы болжанған әсер 75% ғана: 686 400 ₸; үш жылда 2 516 800 ₸. 3 жылдық TCO = 1 684 200 ₸, ROI ≈ 49,4% — ЛЗ 3-пен арифметикалық сәйкестік сақталған.</w:t>
      </w:r>
    </w:p>
    <w:p>
      <w:pPr>
        <w:pStyle w:val="Heading1"/>
      </w:pPr>
      <w:r>
        <w:t>5. Серверді орналастыруды 36 айға салыстыру</w:t>
      </w:r>
    </w:p>
    <w:p>
      <w:r>
        <w:t>Салыстыру бірдей 2 vCPU / 4 GB шамасындағы шағын MVP жүктемесіне арналған. Базалық қоғамдық VPS тарифі — Hoster.kz Cloud 2-4-50: 7 600 ₸/ай (20.10.2026). Нақты SLA, резервтік сақтау, коммерциялық шарттар және деректер орталығының орналасуы іске қосу алдында құжатпен тексеріледі.</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cantSplit/>
        </w:trPr>
        <w:tc>
          <w:tcPr>
            <w:tcW w:type="dxa" w:w="2493"/>
            <w:vAlign w:val="center"/>
            <w:shd w:fill="17324D"/>
          </w:tcPr>
          <w:p>
            <w:pPr>
              <w:spacing w:after="20" w:before="20" w:line="240" w:lineRule="auto"/>
            </w:pPr>
            <w:r>
              <w:rPr>
                <w:rFonts w:ascii="Times New Roman" w:hAnsi="Times New Roman"/>
                <w:b/>
                <w:color w:val="FFFFFF"/>
                <w:sz w:val="19"/>
              </w:rPr>
              <w:t>Нұсқа</w:t>
            </w:r>
          </w:p>
        </w:tc>
        <w:tc>
          <w:tcPr>
            <w:tcW w:type="dxa" w:w="2493"/>
            <w:vAlign w:val="center"/>
            <w:shd w:fill="17324D"/>
          </w:tcPr>
          <w:p>
            <w:pPr>
              <w:spacing w:after="20" w:before="20" w:line="240" w:lineRule="auto"/>
            </w:pPr>
            <w:r>
              <w:rPr>
                <w:rFonts w:ascii="Times New Roman" w:hAnsi="Times New Roman"/>
                <w:b/>
                <w:color w:val="FFFFFF"/>
                <w:sz w:val="19"/>
              </w:rPr>
              <w:t>Инфрақұрылым TCO, 36 ай</w:t>
            </w:r>
          </w:p>
        </w:tc>
        <w:tc>
          <w:tcPr>
            <w:tcW w:type="dxa" w:w="2493"/>
            <w:vAlign w:val="center"/>
            <w:shd w:fill="17324D"/>
          </w:tcPr>
          <w:p>
            <w:pPr>
              <w:spacing w:after="20" w:before="20" w:line="240" w:lineRule="auto"/>
            </w:pPr>
            <w:r>
              <w:rPr>
                <w:rFonts w:ascii="Times New Roman" w:hAnsi="Times New Roman"/>
                <w:b/>
                <w:color w:val="FFFFFF"/>
                <w:sz w:val="19"/>
              </w:rPr>
              <w:t>Жобамен TCO, 36 ай</w:t>
            </w:r>
          </w:p>
        </w:tc>
        <w:tc>
          <w:tcPr>
            <w:tcW w:type="dxa" w:w="2493"/>
            <w:vAlign w:val="center"/>
            <w:shd w:fill="17324D"/>
          </w:tcPr>
          <w:p>
            <w:pPr>
              <w:spacing w:after="20" w:before="20" w:line="240" w:lineRule="auto"/>
            </w:pPr>
            <w:r>
              <w:rPr>
                <w:rFonts w:ascii="Times New Roman" w:hAnsi="Times New Roman"/>
                <w:b/>
                <w:color w:val="FFFFFF"/>
                <w:sz w:val="19"/>
              </w:rPr>
              <w:t>Басты шарт</w:t>
            </w:r>
          </w:p>
        </w:tc>
      </w:tr>
      <w:tr>
        <w:trPr>
          <w:cantSplit/>
        </w:trPr>
        <w:tc>
          <w:tcPr>
            <w:tcW w:type="dxa" w:w="2493"/>
            <w:vAlign w:val="center"/>
          </w:tcPr>
          <w:p>
            <w:pPr>
              <w:spacing w:after="20" w:before="20" w:line="240" w:lineRule="auto"/>
            </w:pPr>
            <w:r>
              <w:rPr>
                <w:rFonts w:ascii="Times New Roman" w:hAnsi="Times New Roman"/>
                <w:sz w:val="19"/>
              </w:rPr>
              <w:t>Hoster ҚР VPS + OSS</w:t>
            </w:r>
          </w:p>
        </w:tc>
        <w:tc>
          <w:tcPr>
            <w:tcW w:type="dxa" w:w="2493"/>
            <w:vAlign w:val="center"/>
          </w:tcPr>
          <w:p>
            <w:pPr>
              <w:spacing w:after="20" w:before="20" w:line="240" w:lineRule="auto"/>
            </w:pPr>
            <w:r>
              <w:rPr>
                <w:rFonts w:ascii="Times New Roman" w:hAnsi="Times New Roman"/>
                <w:sz w:val="19"/>
              </w:rPr>
              <w:t>859 200 ₸</w:t>
            </w:r>
          </w:p>
        </w:tc>
        <w:tc>
          <w:tcPr>
            <w:tcW w:type="dxa" w:w="2493"/>
            <w:vAlign w:val="center"/>
          </w:tcPr>
          <w:p>
            <w:pPr>
              <w:spacing w:after="20" w:before="20" w:line="240" w:lineRule="auto"/>
            </w:pPr>
            <w:r>
              <w:rPr>
                <w:rFonts w:ascii="Times New Roman" w:hAnsi="Times New Roman"/>
                <w:sz w:val="19"/>
              </w:rPr>
              <w:t>1 684 200 ₸</w:t>
            </w:r>
          </w:p>
        </w:tc>
        <w:tc>
          <w:tcPr>
            <w:tcW w:type="dxa" w:w="2493"/>
            <w:vAlign w:val="center"/>
          </w:tcPr>
          <w:p>
            <w:pPr>
              <w:spacing w:after="20" w:before="20" w:line="240" w:lineRule="auto"/>
            </w:pPr>
            <w:r>
              <w:rPr>
                <w:rFonts w:ascii="Times New Roman" w:hAnsi="Times New Roman"/>
                <w:sz w:val="19"/>
              </w:rPr>
              <w:t>Шот/өңір/backup тексеріледі</w:t>
            </w:r>
          </w:p>
        </w:tc>
      </w:tr>
      <w:tr>
        <w:trPr>
          <w:cantSplit/>
        </w:trPr>
        <w:tc>
          <w:tcPr>
            <w:tcW w:type="dxa" w:w="2493"/>
            <w:vAlign w:val="center"/>
            <w:shd w:fill="EAF1F7"/>
          </w:tcPr>
          <w:p>
            <w:pPr>
              <w:spacing w:after="20" w:before="20" w:line="240" w:lineRule="auto"/>
            </w:pPr>
            <w:r>
              <w:rPr>
                <w:rFonts w:ascii="Times New Roman" w:hAnsi="Times New Roman"/>
                <w:sz w:val="19"/>
              </w:rPr>
              <w:t>Өз сервері</w:t>
            </w:r>
          </w:p>
        </w:tc>
        <w:tc>
          <w:tcPr>
            <w:tcW w:type="dxa" w:w="2493"/>
            <w:vAlign w:val="center"/>
            <w:shd w:fill="EAF1F7"/>
          </w:tcPr>
          <w:p>
            <w:pPr>
              <w:spacing w:after="20" w:before="20" w:line="240" w:lineRule="auto"/>
            </w:pPr>
            <w:r>
              <w:rPr>
                <w:rFonts w:ascii="Times New Roman" w:hAnsi="Times New Roman"/>
                <w:sz w:val="19"/>
              </w:rPr>
              <w:t>1 300 800 ₸</w:t>
            </w:r>
          </w:p>
        </w:tc>
        <w:tc>
          <w:tcPr>
            <w:tcW w:type="dxa" w:w="2493"/>
            <w:vAlign w:val="center"/>
            <w:shd w:fill="EAF1F7"/>
          </w:tcPr>
          <w:p>
            <w:pPr>
              <w:spacing w:after="20" w:before="20" w:line="240" w:lineRule="auto"/>
            </w:pPr>
            <w:r>
              <w:rPr>
                <w:rFonts w:ascii="Times New Roman" w:hAnsi="Times New Roman"/>
                <w:sz w:val="19"/>
              </w:rPr>
              <w:t>2 125 800 ₸</w:t>
            </w:r>
          </w:p>
        </w:tc>
        <w:tc>
          <w:tcPr>
            <w:tcW w:type="dxa" w:w="2493"/>
            <w:vAlign w:val="center"/>
            <w:shd w:fill="EAF1F7"/>
          </w:tcPr>
          <w:p>
            <w:pPr>
              <w:spacing w:after="20" w:before="20" w:line="240" w:lineRule="auto"/>
            </w:pPr>
            <w:r>
              <w:rPr>
                <w:rFonts w:ascii="Times New Roman" w:hAnsi="Times New Roman"/>
                <w:sz w:val="19"/>
              </w:rPr>
              <w:t>420 000 ₸ CAPEX, интернет/электр</w:t>
            </w:r>
          </w:p>
        </w:tc>
      </w:tr>
      <w:tr>
        <w:trPr>
          <w:cantSplit/>
        </w:trPr>
        <w:tc>
          <w:tcPr>
            <w:tcW w:type="dxa" w:w="2493"/>
            <w:vAlign w:val="center"/>
          </w:tcPr>
          <w:p>
            <w:pPr>
              <w:spacing w:after="20" w:before="20" w:line="240" w:lineRule="auto"/>
            </w:pPr>
            <w:r>
              <w:rPr>
                <w:rFonts w:ascii="Times New Roman" w:hAnsi="Times New Roman"/>
                <w:sz w:val="19"/>
              </w:rPr>
              <w:t>TechPoint бар сервері</w:t>
            </w:r>
          </w:p>
        </w:tc>
        <w:tc>
          <w:tcPr>
            <w:tcW w:type="dxa" w:w="2493"/>
            <w:vAlign w:val="center"/>
          </w:tcPr>
          <w:p>
            <w:pPr>
              <w:spacing w:after="20" w:before="20" w:line="240" w:lineRule="auto"/>
            </w:pPr>
            <w:r>
              <w:rPr>
                <w:rFonts w:ascii="Times New Roman" w:hAnsi="Times New Roman"/>
                <w:sz w:val="19"/>
              </w:rPr>
              <w:t>705 400 ₸</w:t>
            </w:r>
          </w:p>
        </w:tc>
        <w:tc>
          <w:tcPr>
            <w:tcW w:type="dxa" w:w="2493"/>
            <w:vAlign w:val="center"/>
          </w:tcPr>
          <w:p>
            <w:pPr>
              <w:spacing w:after="20" w:before="20" w:line="240" w:lineRule="auto"/>
            </w:pPr>
            <w:r>
              <w:rPr>
                <w:rFonts w:ascii="Times New Roman" w:hAnsi="Times New Roman"/>
                <w:sz w:val="19"/>
              </w:rPr>
              <w:t>1 530 400 ₸</w:t>
            </w:r>
          </w:p>
        </w:tc>
        <w:tc>
          <w:tcPr>
            <w:tcW w:type="dxa" w:w="2493"/>
            <w:vAlign w:val="center"/>
          </w:tcPr>
          <w:p>
            <w:pPr>
              <w:spacing w:after="20" w:before="20" w:line="240" w:lineRule="auto"/>
            </w:pPr>
            <w:r>
              <w:rPr>
                <w:rFonts w:ascii="Times New Roman" w:hAnsi="Times New Roman"/>
                <w:sz w:val="19"/>
              </w:rPr>
              <w:t>Бар сервер, бос қуат расталмаған</w:t>
            </w:r>
          </w:p>
        </w:tc>
      </w:tr>
    </w:tbl>
    <w:p>
      <w:r>
        <w:t>Өз сервері: 320 000 ₸ жабдық + 45 000 ₸ UPS + 25 000 ₸ дискі + 30 000 ₸ орнату; айына 3 500 ₸ электр, 5 500 ₸ интернет, 1 000 ₸ backup, 14 000 ₸ қолдау, жылына 5 600 ₸ домен. TechPoint сервері: бар жабдық (нөл жаңа сатып алу деп болжанды), 25 000 ₸ дискі + 30 000 ₸ баптау, айына 1 800 ₸ бөлінген ресурс, 1 800 ₸ backup, 14 000 ₸ қолдау, домен 5 600 ₸/жыл. Бұл екі нұсқаның нақты ұсыныс бағалары емес, салыстырмалы есеп.</w:t>
      </w:r>
    </w:p>
    <w:p>
      <w:r>
        <w:t>Кросс-тексеру: CloudApps ашық калькуляторының C1 бағасы бойынша 2 vCPU × 1 990 + 4 GB RAM × 2 330 + 50 GB NVMe × 162 = 21 400 ₸/ай (тек VM есептік ресурсы). Сол себепті барлық «қоғамдық бұлт» бірдей тарифте емес. Калькулятор адресі және тексерілген күн Excel-де берілген.</w:t>
      </w:r>
    </w:p>
    <w:p>
      <w:r>
        <w:t>Шешім: бастапқы оқу MVP үшін Қазақстан аумағында деректерді сақтауы расталатын жалдамалы VPS + open-source стек негізі сақталады. TechPoint-тің бар сервері 153 800 ₸ арзан болып көрінгенімен, оның қуаты, авариялық қалпына келуі, физикалық қолжетімділік пен деректерді қорғау шаралары расталмаған. Бұлар бекітілсе, соңғы шешімді қайта қарау қисынды.</w:t>
      </w:r>
    </w:p>
    <w:p>
      <w:r>
        <w:t>Құқықтық шектеу: ҚР «Дербес деректер және оларды қорғау туралы» заңының 12-бабына сәйкес дербес дерек сақталатын база ҚР аумағында болуы тиіс. Шетелдік өңірде деректерді орналастыру төмен баға үшін де автоматты түрде жарамды нұсқа емес. Қажетті дерек өңдеу негізі, қолжетімділік рөлі, шифрлау, backup және журналдау жеке тексеріледі.</w:t>
      </w:r>
    </w:p>
    <w:p>
      <w:pPr>
        <w:pStyle w:val="Heading1"/>
      </w:pPr>
      <w:r>
        <w:t>6. Рубеждік бақылау: 1–8 ЛЗ пакеті</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324"/>
            <w:vAlign w:val="center"/>
            <w:shd w:fill="17324D"/>
          </w:tcPr>
          <w:p>
            <w:pPr>
              <w:spacing w:after="20" w:before="20" w:line="240" w:lineRule="auto"/>
            </w:pPr>
            <w:r>
              <w:rPr>
                <w:rFonts w:ascii="Times New Roman" w:hAnsi="Times New Roman"/>
                <w:b/>
                <w:color w:val="FFFFFF"/>
                <w:sz w:val="21"/>
              </w:rPr>
              <w:t>Апта</w:t>
            </w:r>
          </w:p>
        </w:tc>
        <w:tc>
          <w:tcPr>
            <w:tcW w:type="dxa" w:w="3324"/>
            <w:vAlign w:val="center"/>
            <w:shd w:fill="17324D"/>
          </w:tcPr>
          <w:p>
            <w:pPr>
              <w:spacing w:after="20" w:before="20" w:line="240" w:lineRule="auto"/>
            </w:pPr>
            <w:r>
              <w:rPr>
                <w:rFonts w:ascii="Times New Roman" w:hAnsi="Times New Roman"/>
                <w:b/>
                <w:color w:val="FFFFFF"/>
                <w:sz w:val="21"/>
              </w:rPr>
              <w:t>Негізгі артефакт</w:t>
            </w:r>
          </w:p>
        </w:tc>
        <w:tc>
          <w:tcPr>
            <w:tcW w:type="dxa" w:w="3324"/>
            <w:vAlign w:val="center"/>
            <w:shd w:fill="17324D"/>
          </w:tcPr>
          <w:p>
            <w:pPr>
              <w:spacing w:after="20" w:before="20" w:line="240" w:lineRule="auto"/>
            </w:pPr>
            <w:r>
              <w:rPr>
                <w:rFonts w:ascii="Times New Roman" w:hAnsi="Times New Roman"/>
                <w:b/>
                <w:color w:val="FFFFFF"/>
                <w:sz w:val="21"/>
              </w:rPr>
              <w:t>Қорғауда не ашу керек</w:t>
            </w:r>
          </w:p>
        </w:tc>
      </w:tr>
      <w:tr>
        <w:trPr>
          <w:cantSplit/>
        </w:trPr>
        <w:tc>
          <w:tcPr>
            <w:tcW w:type="dxa" w:w="3324"/>
            <w:vAlign w:val="center"/>
          </w:tcPr>
          <w:p>
            <w:pPr>
              <w:spacing w:after="20" w:before="20" w:line="240" w:lineRule="auto"/>
            </w:pPr>
            <w:r>
              <w:rPr>
                <w:rFonts w:ascii="Times New Roman" w:hAnsi="Times New Roman"/>
                <w:sz w:val="21"/>
              </w:rPr>
              <w:t>1</w:t>
            </w:r>
          </w:p>
        </w:tc>
        <w:tc>
          <w:tcPr>
            <w:tcW w:type="dxa" w:w="3324"/>
            <w:vAlign w:val="center"/>
          </w:tcPr>
          <w:p>
            <w:pPr>
              <w:spacing w:after="20" w:before="20" w:line="240" w:lineRule="auto"/>
            </w:pPr>
            <w:r>
              <w:rPr>
                <w:rFonts w:ascii="Times New Roman" w:hAnsi="Times New Roman"/>
                <w:sz w:val="21"/>
              </w:rPr>
              <w:t>Команда құзыреттері, failed-case талдауы</w:t>
            </w:r>
          </w:p>
        </w:tc>
        <w:tc>
          <w:tcPr>
            <w:tcW w:type="dxa" w:w="3324"/>
            <w:vAlign w:val="center"/>
          </w:tcPr>
          <w:p>
            <w:pPr>
              <w:spacing w:after="20" w:before="20" w:line="240" w:lineRule="auto"/>
            </w:pPr>
            <w:r>
              <w:rPr>
                <w:rFonts w:ascii="Times New Roman" w:hAnsi="Times New Roman"/>
                <w:sz w:val="21"/>
              </w:rPr>
              <w:t>ЛЗ 1 құжаты</w:t>
            </w:r>
          </w:p>
        </w:tc>
      </w:tr>
      <w:tr>
        <w:trPr>
          <w:cantSplit/>
        </w:trPr>
        <w:tc>
          <w:tcPr>
            <w:tcW w:type="dxa" w:w="3324"/>
            <w:vAlign w:val="center"/>
            <w:shd w:fill="EAF1F7"/>
          </w:tcPr>
          <w:p>
            <w:pPr>
              <w:spacing w:after="20" w:before="20" w:line="240" w:lineRule="auto"/>
            </w:pPr>
            <w:r>
              <w:rPr>
                <w:rFonts w:ascii="Times New Roman" w:hAnsi="Times New Roman"/>
                <w:sz w:val="21"/>
              </w:rPr>
              <w:t>2</w:t>
            </w:r>
          </w:p>
        </w:tc>
        <w:tc>
          <w:tcPr>
            <w:tcW w:type="dxa" w:w="3324"/>
            <w:vAlign w:val="center"/>
            <w:shd w:fill="EAF1F7"/>
          </w:tcPr>
          <w:p>
            <w:pPr>
              <w:spacing w:after="20" w:before="20" w:line="240" w:lineRule="auto"/>
            </w:pPr>
            <w:r>
              <w:rPr>
                <w:rFonts w:ascii="Times New Roman" w:hAnsi="Times New Roman"/>
                <w:sz w:val="21"/>
              </w:rPr>
              <w:t>Сәулет шешімі / ADR</w:t>
            </w:r>
          </w:p>
        </w:tc>
        <w:tc>
          <w:tcPr>
            <w:tcW w:type="dxa" w:w="3324"/>
            <w:vAlign w:val="center"/>
            <w:shd w:fill="EAF1F7"/>
          </w:tcPr>
          <w:p>
            <w:pPr>
              <w:spacing w:after="20" w:before="20" w:line="240" w:lineRule="auto"/>
            </w:pPr>
            <w:r>
              <w:rPr>
                <w:rFonts w:ascii="Times New Roman" w:hAnsi="Times New Roman"/>
                <w:sz w:val="21"/>
              </w:rPr>
              <w:t>ЛЗ 2 құжаты және ADR</w:t>
            </w:r>
          </w:p>
        </w:tc>
      </w:tr>
      <w:tr>
        <w:trPr>
          <w:cantSplit/>
        </w:trPr>
        <w:tc>
          <w:tcPr>
            <w:tcW w:type="dxa" w:w="3324"/>
            <w:vAlign w:val="center"/>
          </w:tcPr>
          <w:p>
            <w:pPr>
              <w:spacing w:after="20" w:before="20" w:line="240" w:lineRule="auto"/>
            </w:pPr>
            <w:r>
              <w:rPr>
                <w:rFonts w:ascii="Times New Roman" w:hAnsi="Times New Roman"/>
                <w:sz w:val="21"/>
              </w:rPr>
              <w:t>3</w:t>
            </w:r>
          </w:p>
        </w:tc>
        <w:tc>
          <w:tcPr>
            <w:tcW w:type="dxa" w:w="3324"/>
            <w:vAlign w:val="center"/>
          </w:tcPr>
          <w:p>
            <w:pPr>
              <w:spacing w:after="20" w:before="20" w:line="240" w:lineRule="auto"/>
            </w:pPr>
            <w:r>
              <w:rPr>
                <w:rFonts w:ascii="Times New Roman" w:hAnsi="Times New Roman"/>
                <w:sz w:val="21"/>
              </w:rPr>
              <w:t>Charter, бизнес-кейс, Excel</w:t>
            </w:r>
          </w:p>
        </w:tc>
        <w:tc>
          <w:tcPr>
            <w:tcW w:type="dxa" w:w="3324"/>
            <w:vAlign w:val="center"/>
          </w:tcPr>
          <w:p>
            <w:pPr>
              <w:spacing w:after="20" w:before="20" w:line="240" w:lineRule="auto"/>
            </w:pPr>
            <w:r>
              <w:rPr>
                <w:rFonts w:ascii="Times New Roman" w:hAnsi="Times New Roman"/>
                <w:sz w:val="21"/>
              </w:rPr>
              <w:t>ЛЗ 3 финмоделі</w:t>
            </w:r>
          </w:p>
        </w:tc>
      </w:tr>
      <w:tr>
        <w:trPr>
          <w:cantSplit/>
        </w:trPr>
        <w:tc>
          <w:tcPr>
            <w:tcW w:type="dxa" w:w="3324"/>
            <w:vAlign w:val="center"/>
            <w:shd w:fill="EAF1F7"/>
          </w:tcPr>
          <w:p>
            <w:pPr>
              <w:spacing w:after="20" w:before="20" w:line="240" w:lineRule="auto"/>
            </w:pPr>
            <w:r>
              <w:rPr>
                <w:rFonts w:ascii="Times New Roman" w:hAnsi="Times New Roman"/>
                <w:sz w:val="21"/>
              </w:rPr>
              <w:t>4</w:t>
            </w:r>
          </w:p>
        </w:tc>
        <w:tc>
          <w:tcPr>
            <w:tcW w:type="dxa" w:w="3324"/>
            <w:vAlign w:val="center"/>
            <w:shd w:fill="EAF1F7"/>
          </w:tcPr>
          <w:p>
            <w:pPr>
              <w:spacing w:after="20" w:before="20" w:line="240" w:lineRule="auto"/>
            </w:pPr>
            <w:r>
              <w:rPr>
                <w:rFonts w:ascii="Times New Roman" w:hAnsi="Times New Roman"/>
                <w:sz w:val="21"/>
              </w:rPr>
              <w:t>User Stories, Story Map, NFR</w:t>
            </w:r>
          </w:p>
        </w:tc>
        <w:tc>
          <w:tcPr>
            <w:tcW w:type="dxa" w:w="3324"/>
            <w:vAlign w:val="center"/>
            <w:shd w:fill="EAF1F7"/>
          </w:tcPr>
          <w:p>
            <w:pPr>
              <w:spacing w:after="20" w:before="20" w:line="240" w:lineRule="auto"/>
            </w:pPr>
            <w:r>
              <w:rPr>
                <w:rFonts w:ascii="Times New Roman" w:hAnsi="Times New Roman"/>
                <w:sz w:val="21"/>
              </w:rPr>
              <w:t>Backlog, docs/requirements</w:t>
            </w:r>
          </w:p>
        </w:tc>
      </w:tr>
      <w:tr>
        <w:trPr>
          <w:cantSplit/>
        </w:trPr>
        <w:tc>
          <w:tcPr>
            <w:tcW w:type="dxa" w:w="3324"/>
            <w:vAlign w:val="center"/>
          </w:tcPr>
          <w:p>
            <w:pPr>
              <w:spacing w:after="20" w:before="20" w:line="240" w:lineRule="auto"/>
            </w:pPr>
            <w:r>
              <w:rPr>
                <w:rFonts w:ascii="Times New Roman" w:hAnsi="Times New Roman"/>
                <w:sz w:val="21"/>
              </w:rPr>
              <w:t>5</w:t>
            </w:r>
          </w:p>
        </w:tc>
        <w:tc>
          <w:tcPr>
            <w:tcW w:type="dxa" w:w="3324"/>
            <w:vAlign w:val="center"/>
          </w:tcPr>
          <w:p>
            <w:pPr>
              <w:spacing w:after="20" w:before="20" w:line="240" w:lineRule="auto"/>
            </w:pPr>
            <w:r>
              <w:rPr>
                <w:rFonts w:ascii="Times New Roman" w:hAnsi="Times New Roman"/>
                <w:sz w:val="21"/>
              </w:rPr>
              <w:t>WBS, релиздер, RACI, capacity</w:t>
            </w:r>
          </w:p>
        </w:tc>
        <w:tc>
          <w:tcPr>
            <w:tcW w:type="dxa" w:w="3324"/>
            <w:vAlign w:val="center"/>
          </w:tcPr>
          <w:p>
            <w:pPr>
              <w:spacing w:after="20" w:before="20" w:line="240" w:lineRule="auto"/>
            </w:pPr>
            <w:r>
              <w:rPr>
                <w:rFonts w:ascii="Times New Roman" w:hAnsi="Times New Roman"/>
                <w:sz w:val="21"/>
              </w:rPr>
              <w:t>docs/plan</w:t>
            </w:r>
          </w:p>
        </w:tc>
      </w:tr>
      <w:tr>
        <w:trPr>
          <w:cantSplit/>
        </w:trPr>
        <w:tc>
          <w:tcPr>
            <w:tcW w:type="dxa" w:w="3324"/>
            <w:vAlign w:val="center"/>
            <w:shd w:fill="EAF1F7"/>
          </w:tcPr>
          <w:p>
            <w:pPr>
              <w:spacing w:after="20" w:before="20" w:line="240" w:lineRule="auto"/>
            </w:pPr>
            <w:r>
              <w:rPr>
                <w:rFonts w:ascii="Times New Roman" w:hAnsi="Times New Roman"/>
                <w:sz w:val="21"/>
              </w:rPr>
              <w:t>6</w:t>
            </w:r>
          </w:p>
        </w:tc>
        <w:tc>
          <w:tcPr>
            <w:tcW w:type="dxa" w:w="3324"/>
            <w:vAlign w:val="center"/>
            <w:shd w:fill="EAF1F7"/>
          </w:tcPr>
          <w:p>
            <w:pPr>
              <w:spacing w:after="20" w:before="20" w:line="240" w:lineRule="auto"/>
            </w:pPr>
            <w:r>
              <w:rPr>
                <w:rFonts w:ascii="Times New Roman" w:hAnsi="Times New Roman"/>
                <w:sz w:val="21"/>
              </w:rPr>
              <w:t>Бағалау/сандық модельдеу</w:t>
            </w:r>
          </w:p>
        </w:tc>
        <w:tc>
          <w:tcPr>
            <w:tcW w:type="dxa" w:w="3324"/>
            <w:vAlign w:val="center"/>
            <w:shd w:fill="EAF1F7"/>
          </w:tcPr>
          <w:p>
            <w:pPr>
              <w:spacing w:after="20" w:before="20" w:line="240" w:lineRule="auto"/>
            </w:pPr>
            <w:r>
              <w:rPr>
                <w:rFonts w:ascii="Times New Roman" w:hAnsi="Times New Roman"/>
                <w:sz w:val="21"/>
              </w:rPr>
              <w:t>ЛЗ 6 есептеу файлдары (бар болса)</w:t>
            </w:r>
          </w:p>
        </w:tc>
      </w:tr>
      <w:tr>
        <w:trPr>
          <w:cantSplit/>
        </w:trPr>
        <w:tc>
          <w:tcPr>
            <w:tcW w:type="dxa" w:w="3324"/>
            <w:vAlign w:val="center"/>
          </w:tcPr>
          <w:p>
            <w:pPr>
              <w:spacing w:after="20" w:before="20" w:line="240" w:lineRule="auto"/>
            </w:pPr>
            <w:r>
              <w:rPr>
                <w:rFonts w:ascii="Times New Roman" w:hAnsi="Times New Roman"/>
                <w:sz w:val="21"/>
              </w:rPr>
              <w:t>7</w:t>
            </w:r>
          </w:p>
        </w:tc>
        <w:tc>
          <w:tcPr>
            <w:tcW w:type="dxa" w:w="3324"/>
            <w:vAlign w:val="center"/>
          </w:tcPr>
          <w:p>
            <w:pPr>
              <w:spacing w:after="20" w:before="20" w:line="240" w:lineRule="auto"/>
            </w:pPr>
            <w:r>
              <w:rPr>
                <w:rFonts w:ascii="Times New Roman" w:hAnsi="Times New Roman"/>
                <w:sz w:val="21"/>
              </w:rPr>
              <w:t>RAID, STRIDE, security жоспары</w:t>
            </w:r>
          </w:p>
        </w:tc>
        <w:tc>
          <w:tcPr>
            <w:tcW w:type="dxa" w:w="3324"/>
            <w:vAlign w:val="center"/>
          </w:tcPr>
          <w:p>
            <w:pPr>
              <w:spacing w:after="20" w:before="20" w:line="240" w:lineRule="auto"/>
            </w:pPr>
            <w:r>
              <w:rPr>
                <w:rFonts w:ascii="Times New Roman" w:hAnsi="Times New Roman"/>
                <w:sz w:val="21"/>
              </w:rPr>
              <w:t>docs/security (сканерлеу жоспарланған)</w:t>
            </w:r>
          </w:p>
        </w:tc>
      </w:tr>
      <w:tr>
        <w:trPr>
          <w:cantSplit/>
        </w:trPr>
        <w:tc>
          <w:tcPr>
            <w:tcW w:type="dxa" w:w="3324"/>
            <w:vAlign w:val="center"/>
            <w:shd w:fill="EAF1F7"/>
          </w:tcPr>
          <w:p>
            <w:pPr>
              <w:spacing w:after="20" w:before="20" w:line="240" w:lineRule="auto"/>
            </w:pPr>
            <w:r>
              <w:rPr>
                <w:rFonts w:ascii="Times New Roman" w:hAnsi="Times New Roman"/>
                <w:sz w:val="21"/>
              </w:rPr>
              <w:t>8</w:t>
            </w:r>
          </w:p>
        </w:tc>
        <w:tc>
          <w:tcPr>
            <w:tcW w:type="dxa" w:w="3324"/>
            <w:vAlign w:val="center"/>
            <w:shd w:fill="EAF1F7"/>
          </w:tcPr>
          <w:p>
            <w:pPr>
              <w:spacing w:after="20" w:before="20" w:line="240" w:lineRule="auto"/>
            </w:pPr>
            <w:r>
              <w:rPr>
                <w:rFonts w:ascii="Times New Roman" w:hAnsi="Times New Roman"/>
                <w:sz w:val="21"/>
              </w:rPr>
              <w:t>SoW, SLA/SLO, 12 ай/36 ай бюджет</w:t>
            </w:r>
          </w:p>
        </w:tc>
        <w:tc>
          <w:tcPr>
            <w:tcW w:type="dxa" w:w="3324"/>
            <w:vAlign w:val="center"/>
            <w:shd w:fill="EAF1F7"/>
          </w:tcPr>
          <w:p>
            <w:pPr>
              <w:spacing w:after="20" w:before="20" w:line="240" w:lineRule="auto"/>
            </w:pPr>
            <w:r>
              <w:rPr>
                <w:rFonts w:ascii="Times New Roman" w:hAnsi="Times New Roman"/>
                <w:sz w:val="21"/>
              </w:rPr>
              <w:t>Осы есеп + Excel</w:t>
            </w:r>
          </w:p>
        </w:tc>
      </w:tr>
    </w:tbl>
    <w:p>
      <w:r>
        <w:t>Рубеждік бақылауда тек нақты репозиторийде бар файлдарды ашу керек. Алдыңғы ЛЗ-лердің GitHub жолдары нақты тексерілмегендіктен, жалған commit сілтемелерін қоспаймыз; docs/portfolio/review-1-8.md файлында сәйкестендіру чек-листі бар.</w:t>
      </w:r>
    </w:p>
    <w:p>
      <w:pPr>
        <w:pStyle w:val="Heading1"/>
      </w:pPr>
      <w:r>
        <w:t>7. Қорытынды</w:t>
      </w:r>
    </w:p>
    <w:p>
      <w:r>
        <w:t>ЛЗ 8 нәтижесінде MasterDesk MVP-інің шекарасы, нәтижені қабылдау және өзгерістерді айырбастау тәртібі ұсынылды. Үш негізгі әрекетке өлшенетін SLO және одан жұмсақ SLA берілді, 93,6 минуттық айлық error budget-ке нақты басқару ережесі жазылды. Қаржы моделі ЛЗ 3 көрсеткіштерімен сәйкес: 12 айлық OPEX — 286 400 ₸, бірінші жыл толық бюджеті — 1 111 400 ₸, 36 айлық жобалық TCO — 1 684 200 ₸. Қаржы тиімділігі мен өндірістік қабылдау TechPoint мәліметтері негізінде кейін тексерілуі керек.</w:t>
      </w:r>
    </w:p>
    <w:p>
      <w:pPr>
        <w:pStyle w:val="Heading1"/>
      </w:pPr>
      <w:r>
        <w:t>8. Дереккөздер және мерзім</w:t>
      </w:r>
    </w:p>
    <w:p>
      <w:pPr>
        <w:pStyle w:val="ListBullet"/>
        <w:spacing w:after="40"/>
      </w:pPr>
      <w:r>
        <w:t>Hoster.kz Cloud VPS тарифтері, 20.10.2026: https://hoster.kz/cloud/vps/ (Cloud 2-4-50, 7 600 ₸/ай).</w:t>
      </w:r>
    </w:p>
    <w:p>
      <w:pPr>
        <w:pStyle w:val="ListBullet"/>
        <w:spacing w:after="40"/>
      </w:pPr>
      <w:r>
        <w:t>CloudApps ресми ашық калькуляторы, 20.10.2026: https://cloudapps.kz/kalkulyator-resursov/ (C1 тарифінің CPU/RAM/NVMe бағалары).</w:t>
      </w:r>
    </w:p>
    <w:p>
      <w:pPr>
        <w:pStyle w:val="ListBullet"/>
        <w:spacing w:after="40"/>
      </w:pPr>
      <w:r>
        <w:t>ҚР «Дербес деректер және оларды қорғау туралы» заңы, 12-бап: https://adilet.zan.kz/rus/docs/Z1300000094 .</w:t>
      </w:r>
    </w:p>
    <w:p>
      <w:pPr>
        <w:pStyle w:val="ListBullet"/>
        <w:spacing w:after="40"/>
      </w:pPr>
      <w:r>
        <w:t>Ішкі жоба құжаттары: MasterDesk ЛЗ 3 қаржы моделі, ЛЗ 5 WBS / capacity, ЛЗ 7 RAID / STRIDE, пән методичкасының ЛЗ 8 бөлімі.</w:t>
      </w:r>
    </w:p>
    <w:sectPr w:rsidR="00FC693F" w:rsidRPr="0006063C" w:rsidSect="00034616">
      <w:pgSz w:w="12240" w:h="15840"/>
      <w:pgMar w:top="794" w:right="1134" w:bottom="79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2" w:lineRule="auto"/>
    </w:pPr>
    <w:rPr>
      <w:rFonts w:ascii="Times New Roman" w:hAnsi="Times New Roman"/>
      <w:color w:val="1E27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imes New Roman" w:hAnsi="Times New Roman"/>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Times New Roman" w:hAnsi="Times New Roman"/>
      <w:b/>
      <w:color w:val="1732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