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30-12 Astoria Blvd — Direct Lease &amp; Operating Partnership</w:t>
      </w:r>
    </w:p>
    <w:bookmarkStart w:id="25" w:name="astoria-blvd"/>
    <w:p>
      <w:pPr>
        <w:pStyle w:val="Heading1"/>
      </w:pPr>
      <w:r>
        <w:t xml:space="preserve">30-12 ASTORIA BLVD</w:t>
      </w:r>
    </w:p>
    <w:bookmarkStart w:id="9" w:name="direct-lease-operating-partnership"/>
    <w:p>
      <w:pPr>
        <w:pStyle w:val="Heading2"/>
      </w:pPr>
      <w:r>
        <w:t xml:space="preserve">DIRECT LEASE &amp; OPERATING PARTNERSHIP</w:t>
      </w:r>
    </w:p>
    <w:p>
      <w:pPr>
        <w:pStyle w:val="FirstParagraph"/>
      </w:pPr>
      <w:r>
        <w:rPr>
          <w:i/>
          <w:iCs/>
        </w:rPr>
        <w:t xml:space="preserve">Prepared for the Landlord of 30-12 Astoria Blvd</w:t>
      </w:r>
    </w:p>
    <w:p>
      <w:pPr>
        <w:pStyle w:val="BodyText"/>
      </w:pPr>
      <w:r>
        <w:rPr>
          <w:i/>
          <w:iCs/>
        </w:rPr>
        <w:t xml:space="preserve">Submitted by our management group — an experienced cannabis-retail management company, in partnership with a qualified, licensed dispensary operator.</w:t>
      </w:r>
    </w:p>
    <w:p>
      <w:r>
        <w:pict>
          <v:rect style="width:0;height:1.5pt" o:hralign="center" o:hrstd="t" o:hr="t"/>
        </w:pict>
      </w:r>
    </w:p>
    <w:bookmarkEnd w:id="9"/>
    <w:bookmarkStart w:id="10" w:name="where-things-stand"/>
    <w:p>
      <w:pPr>
        <w:pStyle w:val="Heading2"/>
      </w:pPr>
      <w:r>
        <w:t xml:space="preserve">Where Things Stand</w:t>
      </w:r>
    </w:p>
    <w:p>
      <w:pPr>
        <w:pStyle w:val="FirstParagraph"/>
      </w:pPr>
      <w:r>
        <w:t xml:space="preserve">The current tenant operating the dispensary at 30-12 Astoria Blvd —</w:t>
      </w:r>
      <w:r>
        <w:t xml:space="preserve"> </w:t>
      </w:r>
      <w:r>
        <w:rPr>
          <w:b/>
          <w:bCs/>
        </w:rPr>
        <w:t xml:space="preserve">Dominica 62</w:t>
      </w:r>
      <w:r>
        <w:t xml:space="preserve"> </w:t>
      </w:r>
      <w:r>
        <w:t xml:space="preserve">— has reached the end of the road. The entity is in full operational and financial collapse and will not continue as a functioning business. You are moving forward with eviction.</w:t>
      </w:r>
    </w:p>
    <w:p>
      <w:pPr>
        <w:pStyle w:val="BodyText"/>
      </w:pPr>
      <w:r>
        <w:t xml:space="preserve">That leaves the familiar bad set of options: a dark licensed dispensary, months of vacancy, and arrears you’ll be chasing against an entity that no longer operates.</w:t>
      </w:r>
    </w:p>
    <w:p>
      <w:pPr>
        <w:pStyle w:val="BodyText"/>
      </w:pPr>
      <w:r>
        <w:t xml:space="preserve">We are proposing a cleaner path. Rather than re-tenant a distressed, dark box on the open market,</w:t>
      </w:r>
      <w:r>
        <w:t xml:space="preserve"> </w:t>
      </w:r>
      <w:r>
        <w:rPr>
          <w:b/>
          <w:bCs/>
        </w:rPr>
        <w:t xml:space="preserve">execute a new, direct lease with our management company</w:t>
      </w:r>
      <w:r>
        <w:t xml:space="preserve"> </w:t>
      </w:r>
      <w:r>
        <w:t xml:space="preserve">— and we will reopen 30-12 Astoria Blvd as a professionally run, fully capitalized dispensary, in partnership with a qualified licensed operator, within weeks of signing.</w:t>
      </w:r>
    </w:p>
    <w:p>
      <w:pPr>
        <w:pStyle w:val="BodyText"/>
      </w:pPr>
      <w:r>
        <w:t xml:space="preserve">This is a clean slate: a new lease, a new tenant of record with real capital behind it, an experienced operating team, and a license partner in good standing. The arrears left behind by Dominica 62 stay where they belong — with Dominica 62 — and remain yours to pursue through the eviction. We are not asking you to discount them. We are offering you a materially stronger tenant than the one you’re losing.</w:t>
      </w:r>
    </w:p>
    <w:p>
      <w:r>
        <w:pict>
          <v:rect style="width:0;height:1.5pt" o:hralign="center" o:hrstd="t" o:hr="t"/>
        </w:pict>
      </w:r>
    </w:p>
    <w:bookmarkEnd w:id="10"/>
    <w:bookmarkStart w:id="11" w:name="the-proposal-in-one-line"/>
    <w:p>
      <w:pPr>
        <w:pStyle w:val="Heading2"/>
      </w:pPr>
      <w:r>
        <w:t xml:space="preserve">The Proposal — In One Line</w:t>
      </w:r>
    </w:p>
    <w:p>
      <w:pPr>
        <w:pStyle w:val="FirstParagraph"/>
      </w:pPr>
      <w:r>
        <w:t xml:space="preserve">You execute a</w:t>
      </w:r>
      <w:r>
        <w:t xml:space="preserve"> </w:t>
      </w:r>
      <w:r>
        <w:rPr>
          <w:b/>
          <w:bCs/>
        </w:rPr>
        <w:t xml:space="preserve">new, direct lease with our management company.</w:t>
      </w:r>
      <w:r>
        <w:t xml:space="preserve"> </w:t>
      </w:r>
      <w:r>
        <w:t xml:space="preserve">We bring the capital, the operating infrastructure, and a</w:t>
      </w:r>
      <w:r>
        <w:t xml:space="preserve"> </w:t>
      </w:r>
      <w:r>
        <w:rPr>
          <w:b/>
          <w:bCs/>
        </w:rPr>
        <w:t xml:space="preserve">qualified licensed dispensary partner</w:t>
      </w:r>
      <w:r>
        <w:t xml:space="preserve"> </w:t>
      </w:r>
      <w:r>
        <w:t xml:space="preserve">— then rebrand and reopen the store fast and run it as a professionally managed cannabis retailer on the corner that should have been working all along.</w:t>
      </w:r>
    </w:p>
    <w:p>
      <w:r>
        <w:pict>
          <v:rect style="width:0;height:1.5pt" o:hralign="center" o:hrstd="t" o:hr="t"/>
        </w:pict>
      </w:r>
    </w:p>
    <w:bookmarkEnd w:id="11"/>
    <w:bookmarkStart w:id="15" w:name="why-us-the-management-team"/>
    <w:p>
      <w:pPr>
        <w:pStyle w:val="Heading2"/>
      </w:pPr>
      <w:r>
        <w:t xml:space="preserve">Why Us — The Management Team</w:t>
      </w:r>
    </w:p>
    <w:p>
      <w:pPr>
        <w:pStyle w:val="FirstParagraph"/>
      </w:pPr>
      <w:r>
        <w:t xml:space="preserve">This is the heart of the proposal. The difference between the dispensary that just failed here and the one we will run is not the location — it’s who stands behind the counter, and who stands behind the books.</w:t>
      </w:r>
    </w:p>
    <w:p>
      <w:pPr>
        <w:pStyle w:val="BodyText"/>
      </w:pPr>
      <w:r>
        <w:t xml:space="preserve">Our management group brings together three principals with directly relevant, complementary backgrounds across</w:t>
      </w:r>
      <w:r>
        <w:t xml:space="preserve"> </w:t>
      </w:r>
      <w:r>
        <w:rPr>
          <w:b/>
          <w:bCs/>
        </w:rPr>
        <w:t xml:space="preserve">cannabis retail, payments and transaction processing, banking, and point-of-sale systems</w:t>
      </w:r>
      <w:r>
        <w:t xml:space="preserve"> </w:t>
      </w:r>
      <w:r>
        <w:t xml:space="preserve">— exactly the disciplines an undercapitalized, inexperienced operator was missing in this space.</w:t>
      </w:r>
    </w:p>
    <w:bookmarkStart w:id="12" w:name="X00187bb3119241584c50a46013e5b3fc46b514e"/>
    <w:p>
      <w:pPr>
        <w:pStyle w:val="Heading3"/>
      </w:pPr>
      <w:r>
        <w:t xml:space="preserve">David Zelinger — Capital Markets, Fintech &amp; Cannabis Operations</w:t>
      </w:r>
    </w:p>
    <w:p>
      <w:pPr>
        <w:pStyle w:val="FirstParagraph"/>
      </w:pPr>
      <w:r>
        <w:t xml:space="preserve">David brings nearly two decades in</w:t>
      </w:r>
      <w:r>
        <w:t xml:space="preserve"> </w:t>
      </w:r>
      <w:r>
        <w:rPr>
          <w:b/>
          <w:bCs/>
        </w:rPr>
        <w:t xml:space="preserve">capital markets and financial-services technology</w:t>
      </w:r>
      <w:r>
        <w:t xml:space="preserve"> </w:t>
      </w:r>
      <w:r>
        <w:t xml:space="preserve">to the team. He spent his career building and running the transaction-processing, reconciliation, and risk-control systems the world’s largest financial institutions depend on — with senior roles at</w:t>
      </w:r>
      <w:r>
        <w:t xml:space="preserve"> </w:t>
      </w:r>
      <w:r>
        <w:rPr>
          <w:b/>
          <w:bCs/>
        </w:rPr>
        <w:t xml:space="preserve">Deutsche Bank</w:t>
      </w:r>
      <w:r>
        <w:t xml:space="preserve"> </w:t>
      </w:r>
      <w:r>
        <w:t xml:space="preserve">(VP, rates-derivatives middle office and client relationship management),</w:t>
      </w:r>
      <w:r>
        <w:t xml:space="preserve"> </w:t>
      </w:r>
      <w:r>
        <w:rPr>
          <w:b/>
          <w:bCs/>
        </w:rPr>
        <w:t xml:space="preserve">Markit</w:t>
      </w:r>
      <w:r>
        <w:t xml:space="preserve"> </w:t>
      </w:r>
      <w:r>
        <w:t xml:space="preserve">(Head of Credit Centre Operations),</w:t>
      </w:r>
      <w:r>
        <w:t xml:space="preserve"> </w:t>
      </w:r>
      <w:r>
        <w:rPr>
          <w:b/>
          <w:bCs/>
        </w:rPr>
        <w:t xml:space="preserve">SmartStream Technologies</w:t>
      </w:r>
      <w:r>
        <w:t xml:space="preserve"> </w:t>
      </w:r>
      <w:r>
        <w:t xml:space="preserve">(SVP, Head of Professional Services, North America — Transaction Lifecycle Management),</w:t>
      </w:r>
      <w:r>
        <w:t xml:space="preserve"> </w:t>
      </w:r>
      <w:r>
        <w:rPr>
          <w:b/>
          <w:bCs/>
        </w:rPr>
        <w:t xml:space="preserve">Duco</w:t>
      </w:r>
      <w:r>
        <w:t xml:space="preserve">, and</w:t>
      </w:r>
      <w:r>
        <w:t xml:space="preserve"> </w:t>
      </w:r>
      <w:r>
        <w:rPr>
          <w:b/>
          <w:bCs/>
        </w:rPr>
        <w:t xml:space="preserve">SS&amp;C Technologies</w:t>
      </w:r>
      <w:r>
        <w:t xml:space="preserve"> </w:t>
      </w:r>
      <w:r>
        <w:t xml:space="preserve">(Treasury Services), and as</w:t>
      </w:r>
      <w:r>
        <w:t xml:space="preserve"> </w:t>
      </w:r>
      <w:r>
        <w:rPr>
          <w:b/>
          <w:bCs/>
        </w:rPr>
        <w:t xml:space="preserve">Chief Operating Officer of RTX Financial</w:t>
      </w:r>
      <w:r>
        <w:t xml:space="preserve">, an electronic trading platform. That is a career spent making money move correctly, at scale, under heavy regulatory scrutiny.</w:t>
      </w:r>
    </w:p>
    <w:p>
      <w:pPr>
        <w:pStyle w:val="BodyText"/>
      </w:pPr>
      <w:r>
        <w:t xml:space="preserve">He brought that discipline into cannabis as a</w:t>
      </w:r>
      <w:r>
        <w:t xml:space="preserve"> </w:t>
      </w:r>
      <w:r>
        <w:rPr>
          <w:b/>
          <w:bCs/>
        </w:rPr>
        <w:t xml:space="preserve">Board Member of CLS Holdings USA</w:t>
      </w:r>
      <w:r>
        <w:t xml:space="preserve"> </w:t>
      </w:r>
      <w:r>
        <w:t xml:space="preserve">(a vertically integrated cannabis producer and retailer), as a partner in</w:t>
      </w:r>
      <w:r>
        <w:t xml:space="preserve"> </w:t>
      </w:r>
      <w:r>
        <w:rPr>
          <w:b/>
          <w:bCs/>
        </w:rPr>
        <w:t xml:space="preserve">SYPP Cloud Bar / Canis Major Partners</w:t>
      </w:r>
      <w:r>
        <w:t xml:space="preserve">, and currently as</w:t>
      </w:r>
      <w:r>
        <w:t xml:space="preserve"> </w:t>
      </w:r>
      <w:r>
        <w:rPr>
          <w:b/>
          <w:bCs/>
        </w:rPr>
        <w:t xml:space="preserve">General Manager of Jerome Baker Designs</w:t>
      </w:r>
      <w:r>
        <w:t xml:space="preserve">, the iconic American glass brand (est. 1991), leading its 2026 New York retail launch. For a cash-heavy, tightly regulated business, David’s mix of institutional-grade financial controls, payments and transaction-processing expertise, and on-the-ground cannabis-retail operating experience is exactly the backbone this venture needs.</w:t>
      </w:r>
    </w:p>
    <w:bookmarkEnd w:id="12"/>
    <w:bookmarkStart w:id="13" w:name="Xe2337d4852c3211597cf192b6131fc92c5558ad"/>
    <w:p>
      <w:pPr>
        <w:pStyle w:val="Heading3"/>
      </w:pPr>
      <w:r>
        <w:t xml:space="preserve">Adam Feldman — Payments, Fintech &amp; Cannabis Payment Technology</w:t>
      </w:r>
    </w:p>
    <w:p>
      <w:pPr>
        <w:pStyle w:val="FirstParagraph"/>
      </w:pPr>
      <w:r>
        <w:t xml:space="preserve">Adam is a sales executive and business-development leader who began his career in</w:t>
      </w:r>
      <w:r>
        <w:t xml:space="preserve"> </w:t>
      </w:r>
      <w:r>
        <w:rPr>
          <w:b/>
          <w:bCs/>
        </w:rPr>
        <w:t xml:space="preserve">Xerox’s corporate sales program</w:t>
      </w:r>
      <w:r>
        <w:t xml:space="preserve"> </w:t>
      </w:r>
      <w:r>
        <w:t xml:space="preserve">and built a reputation leading telecom sales operations across Long Island and New York City. He carried that into the</w:t>
      </w:r>
      <w:r>
        <w:t xml:space="preserve"> </w:t>
      </w:r>
      <w:r>
        <w:rPr>
          <w:b/>
          <w:bCs/>
        </w:rPr>
        <w:t xml:space="preserve">payments industry</w:t>
      </w:r>
      <w:r>
        <w:t xml:space="preserve">, founding</w:t>
      </w:r>
      <w:r>
        <w:t xml:space="preserve"> </w:t>
      </w:r>
      <w:r>
        <w:rPr>
          <w:b/>
          <w:bCs/>
        </w:rPr>
        <w:t xml:space="preserve">Worldclass Payments in 2015</w:t>
      </w:r>
      <w:r>
        <w:t xml:space="preserve"> </w:t>
      </w:r>
      <w:r>
        <w:t xml:space="preserve">following a buyout of a prior independent-agent agreement with a publicly traded company. Under his leadership, Worldclass has grown into a respected merchant-processing organization built on a powerful, expanding referral network of software developers, payment providers, sales professionals, and business consultants. In recent years he has focused the firm on</w:t>
      </w:r>
      <w:r>
        <w:t xml:space="preserve"> </w:t>
      </w:r>
      <w:r>
        <w:rPr>
          <w:b/>
          <w:bCs/>
        </w:rPr>
        <w:t xml:space="preserve">cannabis and hemp payment technology</w:t>
      </w:r>
      <w:r>
        <w:t xml:space="preserve">, helping operators navigate one of the most heavily regulated categories in the country with compliant, modern payment solutions. Adam also owns a multi-million-dollar sports-card and memorabilia business in Albertson, NY — open since 2022, generating roughly</w:t>
      </w:r>
      <w:r>
        <w:t xml:space="preserve"> </w:t>
      </w:r>
      <w:r>
        <w:rPr>
          <w:b/>
          <w:bCs/>
        </w:rPr>
        <w:t xml:space="preserve">$2.5M in annual revenue</w:t>
      </w:r>
      <w:r>
        <w:t xml:space="preserve"> </w:t>
      </w:r>
      <w:r>
        <w:t xml:space="preserve">with direct relationships with industry leaders including Fanatics (Topps). He now brings that payments, compliance, operations, and business-development expertise into cannabis retail.</w:t>
      </w:r>
    </w:p>
    <w:bookmarkEnd w:id="13"/>
    <w:bookmarkStart w:id="14" w:name="X3e3dc03979543c4c17e0938d6b06946fd893504"/>
    <w:p>
      <w:pPr>
        <w:pStyle w:val="Heading3"/>
      </w:pPr>
      <w:r>
        <w:t xml:space="preserve">Jerrah Lieberman — Product Development, Retail &amp; Merchandising</w:t>
      </w:r>
    </w:p>
    <w:p>
      <w:pPr>
        <w:pStyle w:val="FirstParagraph"/>
      </w:pPr>
      <w:r>
        <w:t xml:space="preserve">Jerrah is an experienced entrepreneur with over</w:t>
      </w:r>
      <w:r>
        <w:t xml:space="preserve"> </w:t>
      </w:r>
      <w:r>
        <w:rPr>
          <w:b/>
          <w:bCs/>
        </w:rPr>
        <w:t xml:space="preserve">30 years in product development, retail management, and merchandising.</w:t>
      </w:r>
      <w:r>
        <w:t xml:space="preserve"> </w:t>
      </w:r>
      <w:r>
        <w:t xml:space="preserve">He co-led a family business of 55 employees distributing home goods to over</w:t>
      </w:r>
      <w:r>
        <w:t xml:space="preserve"> </w:t>
      </w:r>
      <w:r>
        <w:rPr>
          <w:b/>
          <w:bCs/>
        </w:rPr>
        <w:t xml:space="preserve">10,000 accounts across the U.S., Europe, and Canada</w:t>
      </w:r>
      <w:r>
        <w:t xml:space="preserve">, with annual sales surpassing</w:t>
      </w:r>
      <w:r>
        <w:t xml:space="preserve"> </w:t>
      </w:r>
      <w:r>
        <w:rPr>
          <w:b/>
          <w:bCs/>
        </w:rPr>
        <w:t xml:space="preserve">$25M.</w:t>
      </w:r>
      <w:r>
        <w:t xml:space="preserve"> </w:t>
      </w:r>
      <w:r>
        <w:t xml:space="preserve">He then founded and sold a second import business, handling logistics, product development, and retail flows. Jerrah has since transitioned into the cannabis industry, focusing on</w:t>
      </w:r>
      <w:r>
        <w:t xml:space="preserve"> </w:t>
      </w:r>
      <w:r>
        <w:rPr>
          <w:b/>
          <w:bCs/>
        </w:rPr>
        <w:t xml:space="preserve">processing and POS solutions.</w:t>
      </w:r>
      <w:r>
        <w:t xml:space="preserve"> </w:t>
      </w:r>
      <w:r>
        <w:t xml:space="preserve">With extensive experience in operations and financial management, his goal is to establish and run a successful retail dispensary — HighLine Astoria — that turns inventory tightly and gives customers a reason to come back.</w:t>
      </w:r>
    </w:p>
    <w:p>
      <w:pPr>
        <w:pStyle w:val="BodyText"/>
      </w:pPr>
      <w:r>
        <w:rPr>
          <w:b/>
          <w:bCs/>
        </w:rPr>
        <w:t xml:space="preserve">Together:</w:t>
      </w:r>
      <w:r>
        <w:t xml:space="preserve"> </w:t>
      </w:r>
      <w:r>
        <w:t xml:space="preserve">operators who have built and run retail, moved money through compliant rails, deployed and optimized POS, and stood up the banking and processing relationships a cash-heavy, highly regulated business needs to actually function. That is the team taking over this corner.</w:t>
      </w:r>
    </w:p>
    <w:p>
      <w:r>
        <w:pict>
          <v:rect style="width:0;height:1.5pt" o:hralign="center" o:hrstd="t" o:hr="t"/>
        </w:pict>
      </w:r>
    </w:p>
    <w:bookmarkEnd w:id="14"/>
    <w:bookmarkEnd w:id="15"/>
    <w:bookmarkStart w:id="16" w:name="the-operating-structure"/>
    <w:p>
      <w:pPr>
        <w:pStyle w:val="Heading2"/>
      </w:pPr>
      <w:r>
        <w:t xml:space="preserve">The Operating Structure</w:t>
      </w:r>
    </w:p>
    <w:p>
      <w:pPr>
        <w:pStyle w:val="Compact"/>
        <w:numPr>
          <w:ilvl w:val="0"/>
          <w:numId w:val="1001"/>
        </w:numPr>
      </w:pPr>
      <w:r>
        <w:rPr>
          <w:b/>
          <w:bCs/>
        </w:rPr>
        <w:t xml:space="preserve">Management company — tenant of record.</w:t>
      </w:r>
      <w:r>
        <w:t xml:space="preserve"> </w:t>
      </w:r>
      <w:r>
        <w:t xml:space="preserve">Our group signs the new lease directly with you, posts the security deposit, and provides the personal guaranty. We are the party on the hook to the landlord.</w:t>
      </w:r>
    </w:p>
    <w:p>
      <w:pPr>
        <w:pStyle w:val="Compact"/>
        <w:numPr>
          <w:ilvl w:val="0"/>
          <w:numId w:val="1001"/>
        </w:numPr>
      </w:pPr>
      <w:r>
        <w:rPr>
          <w:b/>
          <w:bCs/>
        </w:rPr>
        <w:t xml:space="preserve">Licensed dispensary partner.</w:t>
      </w:r>
      <w:r>
        <w:t xml:space="preserve"> </w:t>
      </w:r>
      <w:r>
        <w:t xml:space="preserve">We partner with a qualified, licensed retail-dispensary operator — CAURD or otherwise — who holds the OCM license and operates from the premises under a management and services agreement. They bring the license and regulatory standing; we bring the capital, systems, brand, and day-to-day operating capability.</w:t>
      </w:r>
    </w:p>
    <w:p>
      <w:pPr>
        <w:pStyle w:val="Compact"/>
        <w:numPr>
          <w:ilvl w:val="0"/>
          <w:numId w:val="1001"/>
        </w:numPr>
      </w:pPr>
      <w:r>
        <w:rPr>
          <w:b/>
          <w:bCs/>
        </w:rPr>
        <w:t xml:space="preserve">Clean separation from the prior operator.</w:t>
      </w:r>
      <w:r>
        <w:t xml:space="preserve"> </w:t>
      </w:r>
      <w:r>
        <w:t xml:space="preserve">No assignment of the Dominica 62 lease, no assumption of its liabilities, no entanglement with the entity you are evicting. A new lease and a new business — full stop.</w:t>
      </w:r>
    </w:p>
    <w:p>
      <w:r>
        <w:pict>
          <v:rect style="width:0;height:1.5pt" o:hralign="center" o:hrstd="t" o:hr="t"/>
        </w:pict>
      </w:r>
    </w:p>
    <w:bookmarkEnd w:id="16"/>
    <w:bookmarkStart w:id="17" w:name="what-we-bring-services-infrastructure"/>
    <w:p>
      <w:pPr>
        <w:pStyle w:val="Heading2"/>
      </w:pPr>
      <w:r>
        <w:t xml:space="preserve">What We Bring — Services &amp; Infrastructure</w:t>
      </w:r>
    </w:p>
    <w:p>
      <w:pPr>
        <w:pStyle w:val="FirstParagraph"/>
      </w:pPr>
      <w:r>
        <w:t xml:space="preserve">The same services and infrastructure we set out to deliver from the start — now on a clean lease, with a partner in good standing:</w:t>
      </w:r>
    </w:p>
    <w:p>
      <w:pPr>
        <w:pStyle w:val="Compact"/>
        <w:numPr>
          <w:ilvl w:val="0"/>
          <w:numId w:val="1002"/>
        </w:numPr>
      </w:pPr>
      <w:r>
        <w:rPr>
          <w:b/>
          <w:bCs/>
        </w:rPr>
        <w:t xml:space="preserve">Brand, signage &amp; build-out</w:t>
      </w:r>
      <w:r>
        <w:t xml:space="preserve"> </w:t>
      </w:r>
      <w:r>
        <w:t xml:space="preserve">— the fast facelift described below.</w:t>
      </w:r>
    </w:p>
    <w:p>
      <w:pPr>
        <w:pStyle w:val="Compact"/>
        <w:numPr>
          <w:ilvl w:val="0"/>
          <w:numId w:val="1002"/>
        </w:numPr>
      </w:pPr>
      <w:r>
        <w:rPr>
          <w:b/>
          <w:bCs/>
        </w:rPr>
        <w:t xml:space="preserve">A full marketing program</w:t>
      </w:r>
      <w:r>
        <w:t xml:space="preserve"> </w:t>
      </w:r>
      <w:r>
        <w:t xml:space="preserve">— local advertising, bus-shelter QR, social, grand-reopening campaign.</w:t>
      </w:r>
    </w:p>
    <w:p>
      <w:pPr>
        <w:pStyle w:val="Compact"/>
        <w:numPr>
          <w:ilvl w:val="0"/>
          <w:numId w:val="1002"/>
        </w:numPr>
      </w:pPr>
      <w:r>
        <w:rPr>
          <w:b/>
          <w:bCs/>
        </w:rPr>
        <w:t xml:space="preserve">Modern POS, payments &amp; cashless / transaction processing.</w:t>
      </w:r>
    </w:p>
    <w:p>
      <w:pPr>
        <w:pStyle w:val="Compact"/>
        <w:numPr>
          <w:ilvl w:val="0"/>
          <w:numId w:val="1002"/>
        </w:numPr>
      </w:pPr>
      <w:r>
        <w:rPr>
          <w:b/>
          <w:bCs/>
        </w:rPr>
        <w:t xml:space="preserve">Banking &amp; compliant cash-management relationships.</w:t>
      </w:r>
    </w:p>
    <w:p>
      <w:pPr>
        <w:pStyle w:val="Compact"/>
        <w:numPr>
          <w:ilvl w:val="0"/>
          <w:numId w:val="1002"/>
        </w:numPr>
      </w:pPr>
      <w:r>
        <w:rPr>
          <w:b/>
          <w:bCs/>
        </w:rPr>
        <w:t xml:space="preserve">Inventory management, vendor relationships &amp; merchandising.</w:t>
      </w:r>
    </w:p>
    <w:p>
      <w:pPr>
        <w:pStyle w:val="Compact"/>
        <w:numPr>
          <w:ilvl w:val="0"/>
          <w:numId w:val="1002"/>
        </w:numPr>
      </w:pPr>
      <w:r>
        <w:rPr>
          <w:b/>
          <w:bCs/>
        </w:rPr>
        <w:t xml:space="preserve">Staffing, training &amp; compliance programs.</w:t>
      </w:r>
    </w:p>
    <w:p>
      <w:pPr>
        <w:pStyle w:val="Compact"/>
        <w:numPr>
          <w:ilvl w:val="0"/>
          <w:numId w:val="1002"/>
        </w:numPr>
      </w:pPr>
      <w:r>
        <w:rPr>
          <w:b/>
          <w:bCs/>
        </w:rPr>
        <w:t xml:space="preserve">Financial controls &amp; transparent reporting.</w:t>
      </w:r>
    </w:p>
    <w:p>
      <w:r>
        <w:pict>
          <v:rect style="width:0;height:1.5pt" o:hralign="center" o:hrstd="t" o:hr="t"/>
        </w:pict>
      </w:r>
    </w:p>
    <w:bookmarkEnd w:id="17"/>
    <w:bookmarkStart w:id="20" w:name="the-plan"/>
    <w:p>
      <w:pPr>
        <w:pStyle w:val="Heading2"/>
      </w:pPr>
      <w:r>
        <w:t xml:space="preserve">The Plan</w:t>
      </w:r>
    </w:p>
    <w:bookmarkStart w:id="18" w:name="phase-1-rebrand-reopen-fast"/>
    <w:p>
      <w:pPr>
        <w:pStyle w:val="Heading3"/>
      </w:pPr>
      <w:r>
        <w:t xml:space="preserve">Phase 1 — Rebrand &amp; Reopen (fast)</w:t>
      </w:r>
    </w:p>
    <w:p>
      <w:pPr>
        <w:pStyle w:val="Compact"/>
        <w:numPr>
          <w:ilvl w:val="0"/>
          <w:numId w:val="1003"/>
        </w:numPr>
      </w:pPr>
      <w:r>
        <w:rPr>
          <w:b/>
          <w:bCs/>
        </w:rPr>
        <w:t xml:space="preserve">Visible facelift within five days of taking the keys</w:t>
      </w:r>
      <w:r>
        <w:t xml:space="preserve"> </w:t>
      </w:r>
      <w:r>
        <w:t xml:space="preserve">— exterior signage, awning, window graphics, paint, lighting, shelving, finishes. The space matches the renderings on the proposal site. The plans we are committing to are the ones you have already seen.</w:t>
      </w:r>
    </w:p>
    <w:p>
      <w:pPr>
        <w:pStyle w:val="Compact"/>
        <w:numPr>
          <w:ilvl w:val="0"/>
          <w:numId w:val="1003"/>
        </w:numPr>
      </w:pPr>
      <w:r>
        <w:rPr>
          <w:b/>
          <w:bCs/>
        </w:rPr>
        <w:t xml:space="preserve">Marketing program deployed</w:t>
      </w:r>
      <w:r>
        <w:t xml:space="preserve"> </w:t>
      </w:r>
      <w:r>
        <w:t xml:space="preserve">— the larger of the two early budget lines. The space is not the binding constraint; visibility is.</w:t>
      </w:r>
    </w:p>
    <w:p>
      <w:pPr>
        <w:pStyle w:val="Compact"/>
        <w:numPr>
          <w:ilvl w:val="0"/>
          <w:numId w:val="1003"/>
        </w:numPr>
      </w:pPr>
      <w:r>
        <w:rPr>
          <w:b/>
          <w:bCs/>
        </w:rPr>
        <w:t xml:space="preserve">Systems live</w:t>
      </w:r>
      <w:r>
        <w:t xml:space="preserve"> </w:t>
      </w:r>
      <w:r>
        <w:t xml:space="preserve">— POS, payments and cashless processing, inventory, compliance, and banking, all stood up at reopening.</w:t>
      </w:r>
    </w:p>
    <w:bookmarkEnd w:id="18"/>
    <w:bookmarkStart w:id="19" w:name="phase-2-strategic-build-out"/>
    <w:p>
      <w:pPr>
        <w:pStyle w:val="Heading3"/>
      </w:pPr>
      <w:r>
        <w:t xml:space="preserve">Phase 2 — Strategic Build-Out</w:t>
      </w:r>
    </w:p>
    <w:p>
      <w:pPr>
        <w:pStyle w:val="Compact"/>
        <w:numPr>
          <w:ilvl w:val="0"/>
          <w:numId w:val="1004"/>
        </w:numPr>
      </w:pPr>
      <w:r>
        <w:rPr>
          <w:b/>
          <w:bCs/>
        </w:rPr>
        <w:t xml:space="preserve">Storage area build-out</w:t>
      </w:r>
      <w:r>
        <w:t xml:space="preserve"> </w:t>
      </w:r>
      <w:r>
        <w:t xml:space="preserve">— proper shelving, security, and intake / check-in workflow. The current storage layout is a constraint on inventory handling and turnover.</w:t>
      </w:r>
    </w:p>
    <w:p>
      <w:pPr>
        <w:pStyle w:val="Compact"/>
        <w:numPr>
          <w:ilvl w:val="0"/>
          <w:numId w:val="1004"/>
        </w:numPr>
      </w:pPr>
      <w:r>
        <w:rPr>
          <w:b/>
          <w:bCs/>
        </w:rPr>
        <w:t xml:space="preserve">Throughput improvements</w:t>
      </w:r>
      <w:r>
        <w:t xml:space="preserve"> </w:t>
      </w:r>
      <w:r>
        <w:t xml:space="preserve">— checkout flow, fast-pickup lane, cashless processing. Targeted investment where customer flow is currently slowed.</w:t>
      </w:r>
    </w:p>
    <w:p>
      <w:pPr>
        <w:pStyle w:val="FirstParagraph"/>
      </w:pPr>
      <w:r>
        <w:t xml:space="preserve">Strategic, not wholesale. The location does not need a gut rebuild. It needs the right tenant, basic finish work, a serious marketing push, and focused capital in the places that actually move the business.</w:t>
      </w:r>
    </w:p>
    <w:p>
      <w:r>
        <w:pict>
          <v:rect style="width:0;height:1.5pt" o:hralign="center" o:hrstd="t" o:hr="t"/>
        </w:pict>
      </w:r>
    </w:p>
    <w:bookmarkEnd w:id="19"/>
    <w:bookmarkEnd w:id="20"/>
    <w:bookmarkStart w:id="21" w:name="the-location-already-doing-the-work"/>
    <w:p>
      <w:pPr>
        <w:pStyle w:val="Heading2"/>
      </w:pPr>
      <w:r>
        <w:t xml:space="preserve">The Location — Already Doing the Work</w:t>
      </w:r>
    </w:p>
    <w:p>
      <w:pPr>
        <w:pStyle w:val="FirstParagraph"/>
      </w:pPr>
      <w:r>
        <w:t xml:space="preserve">This is not a hopeful pitch about future demand. The customers are already at the door.</w:t>
      </w:r>
    </w:p>
    <w:p>
      <w:pPr>
        <w:pStyle w:val="BodyText"/>
      </w:pPr>
      <w:r>
        <w:t xml:space="preserve">Even under the management that just collapsed — cash-only, no sign, no marketing — this location did roughly</w:t>
      </w:r>
      <w:r>
        <w:t xml:space="preserve"> </w:t>
      </w:r>
      <w:r>
        <w:rPr>
          <w:b/>
          <w:bCs/>
        </w:rPr>
        <w:t xml:space="preserve">$37,500 in January 2026</w:t>
      </w:r>
      <w:r>
        <w:t xml:space="preserve">, about $9K of it over a single warm-weather weekend. That is the floor, set by an operator that</w:t>
      </w:r>
      <w:r>
        <w:t xml:space="preserve"> </w:t>
      </w:r>
      <w:r>
        <w:rPr>
          <w:i/>
          <w:iCs/>
        </w:rPr>
        <w:t xml:space="preserve">failed</w:t>
      </w:r>
      <w:r>
        <w:t xml:space="preserve">. Run properly, the upside is substantial:</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Driver</w:t>
            </w:r>
          </w:p>
        </w:tc>
        <w:tc>
          <w:tcPr/>
          <w:p>
            <w:pPr>
              <w:pStyle w:val="Compact"/>
            </w:pPr>
            <w:r>
              <w:t xml:space="preserve">Figure</w:t>
            </w:r>
          </w:p>
        </w:tc>
      </w:tr>
      <w:tr>
        <w:tc>
          <w:tcPr/>
          <w:p>
            <w:pPr>
              <w:pStyle w:val="Compact"/>
            </w:pPr>
            <w:r>
              <w:t xml:space="preserve">Bus traffic at the door</w:t>
            </w:r>
          </w:p>
        </w:tc>
        <w:tc>
          <w:tcPr/>
          <w:p>
            <w:pPr>
              <w:pStyle w:val="Compact"/>
            </w:pPr>
            <w:r>
              <w:t xml:space="preserve">5 MTA routes stop in front (Q18, Q19, Q100, Q101, M60-SBS to LaGuardia 24/7)</w:t>
            </w:r>
          </w:p>
        </w:tc>
      </w:tr>
      <w:tr>
        <w:tc>
          <w:tcPr/>
          <w:p>
            <w:pPr>
              <w:pStyle w:val="Compact"/>
            </w:pPr>
            <w:r>
              <w:t xml:space="preserve">Subway one block away</w:t>
            </w:r>
          </w:p>
        </w:tc>
        <w:tc>
          <w:tcPr/>
          <w:p>
            <w:pPr>
              <w:pStyle w:val="Compact"/>
            </w:pPr>
            <w:r>
              <w:t xml:space="preserve">10–14K N/W riders daily</w:t>
            </w:r>
          </w:p>
        </w:tc>
      </w:tr>
      <w:tr>
        <w:tc>
          <w:tcPr/>
          <w:p>
            <w:pPr>
              <w:pStyle w:val="Compact"/>
            </w:pPr>
            <w:r>
              <w:t xml:space="preserve">Immediate ZIP</w:t>
            </w:r>
          </w:p>
        </w:tc>
        <w:tc>
          <w:tcPr/>
          <w:p>
            <w:pPr>
              <w:pStyle w:val="Compact"/>
            </w:pPr>
            <w:r>
              <w:t xml:space="preserve">37K+ residents · median income $97K · median age 37 · 60% college-educated</w:t>
            </w:r>
          </w:p>
        </w:tc>
      </w:tr>
      <w:tr>
        <w:tc>
          <w:tcPr/>
          <w:p>
            <w:pPr>
              <w:pStyle w:val="Compact"/>
            </w:pPr>
            <w:r>
              <w:t xml:space="preserve">Proven revenue floor</w:t>
            </w:r>
          </w:p>
        </w:tc>
        <w:tc>
          <w:tcPr/>
          <w:p>
            <w:pPr>
              <w:pStyle w:val="Compact"/>
            </w:pPr>
            <w:r>
              <w:t xml:space="preserve">~$37,500/mo while mismanaged, cash-only, unmarketed</w:t>
            </w:r>
          </w:p>
        </w:tc>
      </w:tr>
      <w:tr>
        <w:tc>
          <w:tcPr/>
          <w:p>
            <w:pPr>
              <w:pStyle w:val="Compact"/>
            </w:pPr>
            <w:r>
              <w:rPr>
                <w:b/>
                <w:bCs/>
              </w:rPr>
              <w:t xml:space="preserve">Target, run properly</w:t>
            </w:r>
          </w:p>
        </w:tc>
        <w:tc>
          <w:tcPr/>
          <w:p>
            <w:pPr>
              <w:pStyle w:val="Compact"/>
            </w:pPr>
            <w:r>
              <w:rPr>
                <w:b/>
                <w:bCs/>
              </w:rPr>
              <w:t xml:space="preserve">$100–150K / month within ~6 months of relaunch</w:t>
            </w:r>
          </w:p>
        </w:tc>
      </w:tr>
    </w:tbl>
    <w:p>
      <w:pPr>
        <w:pStyle w:val="BodyText"/>
      </w:pPr>
      <w:r>
        <w:t xml:space="preserve">At that level, rent is comfortably covered with substantial margin, and you hold an anchor tenant for the balance of the lease term.</w:t>
      </w:r>
    </w:p>
    <w:p>
      <w:r>
        <w:pict>
          <v:rect style="width:0;height:1.5pt" o:hralign="center" o:hrstd="t" o:hr="t"/>
        </w:pict>
      </w:r>
    </w:p>
    <w:bookmarkEnd w:id="21"/>
    <w:bookmarkStart w:id="22" w:name="lease-terms-a-clean-direct-lease"/>
    <w:p>
      <w:pPr>
        <w:pStyle w:val="Heading2"/>
      </w:pPr>
      <w:r>
        <w:t xml:space="preserve">Lease &amp; Terms — A Clean, Direct Lease</w:t>
      </w:r>
    </w:p>
    <w:p>
      <w:pPr>
        <w:pStyle w:val="Compact"/>
        <w:numPr>
          <w:ilvl w:val="0"/>
          <w:numId w:val="1005"/>
        </w:numPr>
      </w:pPr>
      <w:r>
        <w:rPr>
          <w:b/>
          <w:bCs/>
        </w:rPr>
        <w:t xml:space="preserve">A new, direct lease</w:t>
      </w:r>
      <w:r>
        <w:t xml:space="preserve"> </w:t>
      </w:r>
      <w:r>
        <w:t xml:space="preserve">between you and our management company at market terms. No forward-dating, no contingency on the prior tenant, no legacy baggage.</w:t>
      </w:r>
    </w:p>
    <w:p>
      <w:pPr>
        <w:pStyle w:val="Compact"/>
        <w:numPr>
          <w:ilvl w:val="0"/>
          <w:numId w:val="1005"/>
        </w:numPr>
      </w:pPr>
      <w:r>
        <w:rPr>
          <w:b/>
          <w:bCs/>
        </w:rPr>
        <w:t xml:space="preserve">Fresh security deposit</w:t>
      </w:r>
      <w:r>
        <w:t xml:space="preserve"> </w:t>
      </w:r>
      <w:r>
        <w:t xml:space="preserve">posted at signing.</w:t>
      </w:r>
    </w:p>
    <w:p>
      <w:pPr>
        <w:pStyle w:val="Compact"/>
        <w:numPr>
          <w:ilvl w:val="0"/>
          <w:numId w:val="1005"/>
        </w:numPr>
      </w:pPr>
      <w:r>
        <w:rPr>
          <w:b/>
          <w:bCs/>
        </w:rPr>
        <w:t xml:space="preserve">Personal guaranty</w:t>
      </w:r>
      <w:r>
        <w:t xml:space="preserve"> </w:t>
      </w:r>
      <w:r>
        <w:t xml:space="preserve">from the management principals — a real, capitalized guaranty, not the one walking out the door.</w:t>
      </w:r>
    </w:p>
    <w:p>
      <w:pPr>
        <w:pStyle w:val="Compact"/>
        <w:numPr>
          <w:ilvl w:val="0"/>
          <w:numId w:val="1005"/>
        </w:numPr>
      </w:pPr>
      <w:r>
        <w:rPr>
          <w:b/>
          <w:bCs/>
        </w:rPr>
        <w:t xml:space="preserve">Full financial transparency</w:t>
      </w:r>
      <w:r>
        <w:t xml:space="preserve"> </w:t>
      </w:r>
      <w:r>
        <w:t xml:space="preserve">— tax returns and personal financial information on every principal, provided under NDA before signing.</w:t>
      </w:r>
    </w:p>
    <w:p>
      <w:pPr>
        <w:pStyle w:val="Compact"/>
        <w:numPr>
          <w:ilvl w:val="0"/>
          <w:numId w:val="1005"/>
        </w:numPr>
      </w:pPr>
      <w:r>
        <w:rPr>
          <w:b/>
          <w:bCs/>
        </w:rPr>
        <w:t xml:space="preserve">Arrears stay with Dominica 62.</w:t>
      </w:r>
      <w:r>
        <w:t xml:space="preserve"> </w:t>
      </w:r>
      <w:r>
        <w:t xml:space="preserve">The back rent, utilities, and tax left by the prior tenant remain its obligation and yours to pursue through the eviction. We do not assume them, and they do not burden the new lease.</w:t>
      </w:r>
    </w:p>
    <w:p>
      <w:r>
        <w:pict>
          <v:rect style="width:0;height:1.5pt" o:hralign="center" o:hrstd="t" o:hr="t"/>
        </w:pict>
      </w:r>
    </w:p>
    <w:bookmarkEnd w:id="22"/>
    <w:bookmarkStart w:id="23" w:name="why-this-beats-the-alternatives"/>
    <w:p>
      <w:pPr>
        <w:pStyle w:val="Heading2"/>
      </w:pPr>
      <w:r>
        <w:t xml:space="preserve">Why This Beats the Alternatives</w:t>
      </w:r>
    </w:p>
    <w:p>
      <w:pPr>
        <w:pStyle w:val="FirstParagraph"/>
      </w:pPr>
      <w:r>
        <w:rPr>
          <w:b/>
          <w:bCs/>
        </w:rPr>
        <w:t xml:space="preserve">Versus a dark box on the open market.</w:t>
      </w:r>
      <w:r>
        <w:t xml:space="preserve"> </w:t>
      </w:r>
      <w:r>
        <w:t xml:space="preserve">Months of vacancy, no rent, and marketing the space cold to unknown operators — most of whom cannot show capital, a guaranty, an operating team, and a license partner on day one. We can.</w:t>
      </w:r>
    </w:p>
    <w:p>
      <w:pPr>
        <w:pStyle w:val="BodyText"/>
      </w:pPr>
      <w:r>
        <w:rPr>
          <w:b/>
          <w:bCs/>
        </w:rPr>
        <w:t xml:space="preserve">Versus another distressed operator.</w:t>
      </w:r>
      <w:r>
        <w:t xml:space="preserve"> </w:t>
      </w:r>
      <w:r>
        <w:t xml:space="preserve">You just watched undercapitalized, inexperienced operators fail in this exact space. We are the opposite profile: capital, seasoned fintech and retail operators, and a licensed partner in good standing.</w:t>
      </w:r>
    </w:p>
    <w:p>
      <w:pPr>
        <w:pStyle w:val="BodyText"/>
      </w:pPr>
      <w:r>
        <w:rPr>
          <w:b/>
          <w:bCs/>
        </w:rPr>
        <w:t xml:space="preserve">Versus chasing Dominica 62.</w:t>
      </w:r>
      <w:r>
        <w:t xml:space="preserve"> </w:t>
      </w:r>
      <w:r>
        <w:t xml:space="preserve">Eviction recovers the box, not the business. Our lease puts a paying, capitalized, professionally managed tenant in it — starting now.</w:t>
      </w:r>
    </w:p>
    <w:p>
      <w:r>
        <w:pict>
          <v:rect style="width:0;height:1.5pt" o:hralign="center" o:hrstd="t" o:hr="t"/>
        </w:pict>
      </w:r>
    </w:p>
    <w:bookmarkEnd w:id="23"/>
    <w:bookmarkStart w:id="24" w:name="what-we-are-asking"/>
    <w:p>
      <w:pPr>
        <w:pStyle w:val="Heading2"/>
      </w:pPr>
      <w:r>
        <w:t xml:space="preserve">What We Are Asking</w:t>
      </w:r>
    </w:p>
    <w:p>
      <w:pPr>
        <w:pStyle w:val="Compact"/>
        <w:numPr>
          <w:ilvl w:val="0"/>
          <w:numId w:val="1006"/>
        </w:numPr>
      </w:pPr>
      <w:r>
        <w:t xml:space="preserve">Execute a</w:t>
      </w:r>
      <w:r>
        <w:t xml:space="preserve"> </w:t>
      </w:r>
      <w:r>
        <w:rPr>
          <w:b/>
          <w:bCs/>
        </w:rPr>
        <w:t xml:space="preserve">new, direct lease</w:t>
      </w:r>
      <w:r>
        <w:t xml:space="preserve"> </w:t>
      </w:r>
      <w:r>
        <w:t xml:space="preserve">with our management company at market terms.</w:t>
      </w:r>
    </w:p>
    <w:p>
      <w:pPr>
        <w:pStyle w:val="Compact"/>
        <w:numPr>
          <w:ilvl w:val="0"/>
          <w:numId w:val="1006"/>
        </w:numPr>
      </w:pPr>
      <w:r>
        <w:t xml:space="preserve">Accept our</w:t>
      </w:r>
      <w:r>
        <w:t xml:space="preserve"> </w:t>
      </w:r>
      <w:r>
        <w:rPr>
          <w:b/>
          <w:bCs/>
        </w:rPr>
        <w:t xml:space="preserve">fresh security deposit and personal guaranty</w:t>
      </w:r>
      <w:r>
        <w:t xml:space="preserve"> </w:t>
      </w:r>
      <w:r>
        <w:t xml:space="preserve">in place of the departing tenant’s.</w:t>
      </w:r>
    </w:p>
    <w:p>
      <w:pPr>
        <w:pStyle w:val="Compact"/>
        <w:numPr>
          <w:ilvl w:val="0"/>
          <w:numId w:val="1006"/>
        </w:numPr>
      </w:pPr>
      <w:r>
        <w:t xml:space="preserve">Proceed with the</w:t>
      </w:r>
      <w:r>
        <w:t xml:space="preserve"> </w:t>
      </w:r>
      <w:r>
        <w:rPr>
          <w:b/>
          <w:bCs/>
        </w:rPr>
        <w:t xml:space="preserve">eviction of Dominica 62</w:t>
      </w:r>
      <w:r>
        <w:t xml:space="preserve"> </w:t>
      </w:r>
      <w:r>
        <w:t xml:space="preserve">as planned; we step in clean behind it.</w:t>
      </w:r>
    </w:p>
    <w:p>
      <w:pPr>
        <w:pStyle w:val="FirstParagraph"/>
      </w:pPr>
      <w:r>
        <w:t xml:space="preserve">In return, the landlord receives: full transparency on every principal</w:t>
      </w:r>
      <w:r>
        <w:t xml:space="preserve"> </w:t>
      </w:r>
      <w:r>
        <w:rPr>
          <w:b/>
          <w:bCs/>
        </w:rPr>
        <w:t xml:space="preserve">before signing</w:t>
      </w:r>
      <w:r>
        <w:t xml:space="preserve">; a capitalized tenant of record; a fresh deposit and a fresh personal guaranty; an experienced management team paired with a licensed operating partner; and a professionally run dispensary on a corner that — even badly managed — was already generating revenue.</w:t>
      </w:r>
    </w:p>
    <w:p>
      <w:pPr>
        <w:pStyle w:val="BodyText"/>
      </w:pPr>
      <w:r>
        <w:t xml:space="preserve">We are available to walk through the team, the structure, and the renderings in person at your convenience.</w:t>
      </w:r>
    </w:p>
    <w:p>
      <w:r>
        <w:pict>
          <v:rect style="width:0;height:1.5pt" o:hralign="center" o:hrstd="t" o:hr="t"/>
        </w:pict>
      </w:r>
    </w:p>
    <w:p>
      <w:pPr>
        <w:pStyle w:val="FirstParagraph"/>
      </w:pPr>
      <w:r>
        <w:rPr>
          <w:b/>
          <w:bCs/>
        </w:rPr>
        <w:t xml:space="preserve">Our Management Company</w:t>
      </w:r>
      <w:r>
        <w:t xml:space="preserve"> </w:t>
      </w:r>
      <w:r>
        <w:rPr>
          <w:i/>
          <w:iCs/>
        </w:rPr>
        <w:t xml:space="preserve">(entity name to be confirmed)</w:t>
      </w:r>
      <w:r>
        <w:t xml:space="preserve"> </w:t>
      </w:r>
      <w:r>
        <w:rPr>
          <w:i/>
          <w:iCs/>
        </w:rPr>
        <w:t xml:space="preserve">David Zelinger · Adam Feldman · Jerrah Lieberman — in partnership with a qualified, licensed dispensary operator.</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30-12 Astoria Blvd — Direct Lease &amp; Operating Partnership</dc:title>
  <dc:creator/>
  <cp:keywords/>
  <dcterms:created xsi:type="dcterms:W3CDTF">2026-05-26T11:02:14Z</dcterms:created>
  <dcterms:modified xsi:type="dcterms:W3CDTF">2026-05-26T11:02:14Z</dcterms:modified>
</cp:coreProperties>
</file>

<file path=docProps/custom.xml><?xml version="1.0" encoding="utf-8"?>
<Properties xmlns="http://schemas.openxmlformats.org/officeDocument/2006/custom-properties" xmlns:vt="http://schemas.openxmlformats.org/officeDocument/2006/docPropsVTypes"/>
</file>