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FCC9C" w14:textId="77777777" w:rsidR="00F42477" w:rsidRPr="00F42477" w:rsidRDefault="00F42477" w:rsidP="00F42477">
      <w:pPr>
        <w:jc w:val="center"/>
        <w:rPr>
          <w:b/>
          <w:bCs/>
          <w:lang w:val="tr-TR"/>
        </w:rPr>
      </w:pPr>
      <w:r w:rsidRPr="00F42477">
        <w:rPr>
          <w:b/>
          <w:bCs/>
          <w:lang w:val="tr-TR"/>
        </w:rPr>
        <w:t xml:space="preserve">AI POWERED ANOMALY DETECTION FOR DIGITAL GOLD </w:t>
      </w:r>
      <w:proofErr w:type="gramStart"/>
      <w:r w:rsidRPr="00F42477">
        <w:rPr>
          <w:b/>
          <w:bCs/>
          <w:lang w:val="tr-TR"/>
        </w:rPr>
        <w:t>TRANSACTIONS :</w:t>
      </w:r>
      <w:proofErr w:type="gramEnd"/>
      <w:r w:rsidRPr="00F42477">
        <w:rPr>
          <w:b/>
          <w:bCs/>
          <w:lang w:val="tr-TR"/>
        </w:rPr>
        <w:t xml:space="preserve">  A DECISION SYSTEM FOR FINTECH PLATFORMS</w:t>
      </w:r>
    </w:p>
    <w:p w14:paraId="0F1953D1" w14:textId="77777777" w:rsidR="00B70279" w:rsidRPr="00F42477" w:rsidRDefault="00B70279">
      <w:pPr>
        <w:rPr>
          <w:lang w:val="tr-TR"/>
        </w:rPr>
      </w:pPr>
      <w:proofErr w:type="spellStart"/>
      <w:r w:rsidRPr="00F42477">
        <w:rPr>
          <w:b/>
          <w:bCs/>
          <w:lang w:val="tr-TR"/>
        </w:rPr>
        <w:t>Abstract</w:t>
      </w:r>
      <w:proofErr w:type="spellEnd"/>
      <w:r w:rsidRPr="00F42477">
        <w:rPr>
          <w:b/>
          <w:bCs/>
          <w:lang w:val="tr-TR"/>
        </w:rPr>
        <w:t xml:space="preserve"> </w:t>
      </w:r>
      <w:r w:rsidRPr="00F42477">
        <w:rPr>
          <w:lang w:val="tr-TR"/>
        </w:rPr>
        <w:t xml:space="preserve">– </w:t>
      </w:r>
      <w:r w:rsidR="00F42477" w:rsidRPr="00F42477">
        <w:rPr>
          <w:color w:val="000000"/>
        </w:rPr>
        <w:t>This paper proposes a machine learning-based anomaly detection and decision-support system for Aurix, a digital gold trading platform. Experiments conducted on 15,000 synthetic transactions from 500 users demonstrate that the unsupervised Isolation Forest model achieves 90% precision and 90% recall on the anomaly class, with an overall accuracy of 99%. A supervised Random Forest classifier trained as a reference model reaches a ROC-AUC of 1.0000. The proposed three-tier decision layer translates model outputs into operational alerts, routing 5% of transactions</w:t>
      </w:r>
      <w:r w:rsidR="00F42477" w:rsidRPr="00F42477">
        <w:rPr>
          <w:rStyle w:val="apple-converted-space"/>
          <w:color w:val="000000"/>
        </w:rPr>
        <w:t> </w:t>
      </w:r>
      <w:r w:rsidR="00F42477" w:rsidRPr="00F42477">
        <w:rPr>
          <w:color w:val="000000"/>
        </w:rPr>
        <w:t>for immediate blocking and 20%</w:t>
      </w:r>
      <w:r w:rsidR="00F42477" w:rsidRPr="00F42477">
        <w:rPr>
          <w:color w:val="000000"/>
        </w:rPr>
        <w:t xml:space="preserve"> </w:t>
      </w:r>
      <w:r w:rsidR="00F42477" w:rsidRPr="00F42477">
        <w:rPr>
          <w:color w:val="000000"/>
        </w:rPr>
        <w:t>to a manual review queue.</w:t>
      </w:r>
    </w:p>
    <w:p w14:paraId="59B135EB" w14:textId="77777777" w:rsidR="00B70279" w:rsidRPr="00F42477" w:rsidRDefault="00B70279">
      <w:pPr>
        <w:rPr>
          <w:lang w:val="tr-TR"/>
        </w:rPr>
      </w:pPr>
    </w:p>
    <w:p w14:paraId="7E6E4CA9" w14:textId="77777777" w:rsidR="00B70279" w:rsidRDefault="00B70279">
      <w:pPr>
        <w:rPr>
          <w:rFonts w:cs="Arial"/>
          <w:color w:val="000000"/>
        </w:rPr>
      </w:pPr>
      <w:proofErr w:type="spellStart"/>
      <w:r w:rsidRPr="00F42477">
        <w:rPr>
          <w:b/>
          <w:bCs/>
          <w:lang w:val="tr-TR"/>
        </w:rPr>
        <w:t>Keywords</w:t>
      </w:r>
      <w:proofErr w:type="spellEnd"/>
      <w:r w:rsidRPr="00F42477">
        <w:rPr>
          <w:lang w:val="tr-TR"/>
        </w:rPr>
        <w:t xml:space="preserve"> – </w:t>
      </w:r>
      <w:r w:rsidRPr="00F42477">
        <w:rPr>
          <w:rFonts w:cs="Arial"/>
          <w:color w:val="000000"/>
        </w:rPr>
        <w:t>anomaly detection, fintech, Isolation Forest, Random Forest, digital gold, fraud detection, decision support system</w:t>
      </w:r>
    </w:p>
    <w:p w14:paraId="687FFCDB" w14:textId="77777777" w:rsidR="00F42477" w:rsidRDefault="00F42477" w:rsidP="00F42477">
      <w:pPr>
        <w:pStyle w:val="ListParagraph"/>
        <w:numPr>
          <w:ilvl w:val="0"/>
          <w:numId w:val="1"/>
        </w:numPr>
        <w:rPr>
          <w:rFonts w:cs="Arial"/>
          <w:color w:val="000000"/>
        </w:rPr>
      </w:pPr>
      <w:r>
        <w:rPr>
          <w:rFonts w:cs="Arial"/>
          <w:color w:val="000000"/>
        </w:rPr>
        <w:t xml:space="preserve">INTRODUCTION </w:t>
      </w:r>
    </w:p>
    <w:p w14:paraId="11145B5E" w14:textId="77777777" w:rsidR="00F42477" w:rsidRDefault="00F42477" w:rsidP="00F42477">
      <w:pPr>
        <w:pStyle w:val="ListParagraph"/>
        <w:ind w:left="1080"/>
        <w:rPr>
          <w:rFonts w:cs="Arial"/>
          <w:color w:val="000000"/>
        </w:rPr>
      </w:pPr>
      <w:r>
        <w:rPr>
          <w:rFonts w:cs="Arial"/>
          <w:color w:val="000000"/>
        </w:rPr>
        <w:t>Ensuring transaction security in fintech platforms remains one of the core challenges for machine learning applications working under label scarcity.</w:t>
      </w:r>
    </w:p>
    <w:p w14:paraId="5501D7A6" w14:textId="77777777" w:rsidR="00F42477" w:rsidRDefault="00F42477" w:rsidP="00F42477">
      <w:pPr>
        <w:pStyle w:val="ListParagraph"/>
        <w:ind w:left="1080"/>
        <w:rPr>
          <w:rFonts w:cs="Arial"/>
          <w:color w:val="000000"/>
        </w:rPr>
      </w:pPr>
      <w:r>
        <w:rPr>
          <w:rFonts w:cs="Arial"/>
          <w:color w:val="000000"/>
        </w:rPr>
        <w:t>Digital gold trading amplifies this diffuculty, gold price volatililty, diverse user behavior and the wide distributionof transaction sizes create conditions where rule based systems consistently are not enough.</w:t>
      </w:r>
    </w:p>
    <w:p w14:paraId="42BAE57A" w14:textId="77777777" w:rsidR="00F42477" w:rsidRDefault="00F42477" w:rsidP="00F42477">
      <w:pPr>
        <w:pStyle w:val="ListParagraph"/>
        <w:ind w:left="1080"/>
        <w:rPr>
          <w:rFonts w:cs="Arial"/>
          <w:color w:val="000000"/>
        </w:rPr>
      </w:pPr>
    </w:p>
    <w:p w14:paraId="170261EC" w14:textId="77777777" w:rsidR="00F42477" w:rsidRDefault="00F42477" w:rsidP="00F42477">
      <w:pPr>
        <w:pStyle w:val="ListParagraph"/>
        <w:ind w:left="1080"/>
        <w:rPr>
          <w:color w:val="000000"/>
        </w:rPr>
      </w:pPr>
      <w:r>
        <w:rPr>
          <w:rFonts w:cs="Arial"/>
          <w:color w:val="000000"/>
        </w:rPr>
        <w:t xml:space="preserve">This work addresses the problem through an unsupervised learning approach, integrated with a deciison layer that converts model outputs directly into business actions. </w:t>
      </w:r>
      <w:r w:rsidRPr="00F42477">
        <w:rPr>
          <w:color w:val="000000"/>
        </w:rPr>
        <w:t>The proposed system is designed to be production-ready without requiring any labels, while a supervised reference model demonstrates the performance ceiling achievable once labels accumulate.</w:t>
      </w:r>
    </w:p>
    <w:p w14:paraId="51736417" w14:textId="77777777" w:rsidR="00F42477" w:rsidRDefault="00F42477" w:rsidP="00F42477">
      <w:pPr>
        <w:pStyle w:val="ListParagraph"/>
        <w:ind w:left="1080"/>
        <w:rPr>
          <w:color w:val="000000"/>
        </w:rPr>
      </w:pPr>
    </w:p>
    <w:p w14:paraId="52D39986" w14:textId="77777777" w:rsidR="00F42477" w:rsidRDefault="00F42477" w:rsidP="00F42477">
      <w:pPr>
        <w:pStyle w:val="ListParagraph"/>
        <w:numPr>
          <w:ilvl w:val="0"/>
          <w:numId w:val="1"/>
        </w:numPr>
        <w:rPr>
          <w:color w:val="000000"/>
        </w:rPr>
      </w:pPr>
      <w:r>
        <w:rPr>
          <w:color w:val="000000"/>
        </w:rPr>
        <w:t xml:space="preserve">DATASET AND FEATURE ENGINEERING </w:t>
      </w:r>
    </w:p>
    <w:p w14:paraId="1AB59B59" w14:textId="77777777" w:rsidR="00F42477" w:rsidRDefault="00F42477" w:rsidP="00F42477">
      <w:pPr>
        <w:pStyle w:val="ListParagraph"/>
        <w:ind w:left="1080"/>
        <w:rPr>
          <w:color w:val="000000"/>
        </w:rPr>
      </w:pPr>
    </w:p>
    <w:p w14:paraId="44156DDD" w14:textId="77777777" w:rsidR="00F42477" w:rsidRDefault="00F42477" w:rsidP="00F42477">
      <w:pPr>
        <w:pStyle w:val="ListParagraph"/>
        <w:ind w:left="1080"/>
        <w:rPr>
          <w:color w:val="000000"/>
        </w:rPr>
      </w:pPr>
      <w:r w:rsidRPr="00F42477">
        <w:rPr>
          <w:color w:val="000000"/>
        </w:rPr>
        <w:t>The dataset was constructed to simulate one year of trading activity using a Geometric Brownian Motion (GBM) model, with daily drift μ = 0.0003 and volatility σ = 0.012. The resulting gold price series ranged from $1,667 to $2,276 per ounce. Of the 15,000 transactions, 14,550 are normal (97%) and 450 are injected anomalies (3%). The average normal transaction amount is $1,128.72, while anomalous transactions average $26,585.91.</w:t>
      </w:r>
      <w:r w:rsidRPr="00F42477">
        <w:rPr>
          <w:color w:val="000000"/>
        </w:rPr>
        <w:t xml:space="preserve"> </w:t>
      </w:r>
    </w:p>
    <w:p w14:paraId="05248A89" w14:textId="77777777" w:rsidR="00F42477" w:rsidRPr="00F42477" w:rsidRDefault="00F42477" w:rsidP="00F42477">
      <w:pPr>
        <w:pStyle w:val="ListParagraph"/>
        <w:ind w:left="1080"/>
        <w:rPr>
          <w:color w:val="000000"/>
        </w:rPr>
      </w:pPr>
      <w:r w:rsidRPr="00F42477">
        <w:rPr>
          <w:color w:val="000000"/>
        </w:rPr>
        <w:t>Eleven features were derived from raw transaction data. The most informative are as follows:</w:t>
      </w:r>
    </w:p>
    <w:p w14:paraId="65E355AD" w14:textId="77777777" w:rsidR="00F42477" w:rsidRPr="00F42477" w:rsidRDefault="00F42477" w:rsidP="00F42477">
      <w:pPr>
        <w:pStyle w:val="whitespace-normal"/>
        <w:numPr>
          <w:ilvl w:val="0"/>
          <w:numId w:val="3"/>
        </w:numPr>
        <w:rPr>
          <w:rFonts w:asciiTheme="minorHAnsi" w:hAnsiTheme="minorHAnsi"/>
          <w:color w:val="000000"/>
        </w:rPr>
      </w:pPr>
      <w:r w:rsidRPr="00F42477">
        <w:rPr>
          <w:rStyle w:val="Strong"/>
          <w:rFonts w:asciiTheme="minorHAnsi" w:eastAsiaTheme="majorEastAsia" w:hAnsiTheme="minorHAnsi"/>
          <w:color w:val="000000"/>
        </w:rPr>
        <w:lastRenderedPageBreak/>
        <w:t>amount_in_grams:</w:t>
      </w:r>
      <w:r w:rsidRPr="00F42477">
        <w:rPr>
          <w:rStyle w:val="apple-converted-space"/>
          <w:rFonts w:asciiTheme="minorHAnsi" w:eastAsiaTheme="majorEastAsia" w:hAnsiTheme="minorHAnsi"/>
          <w:color w:val="000000"/>
        </w:rPr>
        <w:t> </w:t>
      </w:r>
      <w:r w:rsidRPr="00F42477">
        <w:rPr>
          <w:rFonts w:asciiTheme="minorHAnsi" w:hAnsiTheme="minorHAnsi"/>
          <w:color w:val="000000"/>
        </w:rPr>
        <w:t>Transaction value divided by the live gold price, enabling price-independent comparisons across time.</w:t>
      </w:r>
    </w:p>
    <w:p w14:paraId="5D5AB89E" w14:textId="77777777" w:rsidR="00F42477" w:rsidRPr="00F42477" w:rsidRDefault="00F42477" w:rsidP="00F42477">
      <w:pPr>
        <w:pStyle w:val="whitespace-normal"/>
        <w:numPr>
          <w:ilvl w:val="0"/>
          <w:numId w:val="3"/>
        </w:numPr>
        <w:rPr>
          <w:rFonts w:asciiTheme="minorHAnsi" w:hAnsiTheme="minorHAnsi"/>
          <w:color w:val="000000"/>
        </w:rPr>
      </w:pPr>
      <w:r w:rsidRPr="00F42477">
        <w:rPr>
          <w:rStyle w:val="Strong"/>
          <w:rFonts w:asciiTheme="minorHAnsi" w:eastAsiaTheme="majorEastAsia" w:hAnsiTheme="minorHAnsi"/>
          <w:color w:val="000000"/>
        </w:rPr>
        <w:t>amount_zscore:</w:t>
      </w:r>
      <w:r w:rsidRPr="00F42477">
        <w:rPr>
          <w:rStyle w:val="apple-converted-space"/>
          <w:rFonts w:asciiTheme="minorHAnsi" w:eastAsiaTheme="majorEastAsia" w:hAnsiTheme="minorHAnsi"/>
          <w:color w:val="000000"/>
        </w:rPr>
        <w:t> </w:t>
      </w:r>
      <w:r w:rsidRPr="00F42477">
        <w:rPr>
          <w:rFonts w:asciiTheme="minorHAnsi" w:hAnsiTheme="minorHAnsi"/>
          <w:color w:val="000000"/>
        </w:rPr>
        <w:t>Z-score computed against each user's personal transaction history, capturing user-level deviation.</w:t>
      </w:r>
    </w:p>
    <w:p w14:paraId="7C697F61" w14:textId="77777777" w:rsidR="00F42477" w:rsidRPr="00F42477" w:rsidRDefault="00F42477" w:rsidP="00F42477">
      <w:pPr>
        <w:pStyle w:val="whitespace-normal"/>
        <w:numPr>
          <w:ilvl w:val="0"/>
          <w:numId w:val="3"/>
        </w:numPr>
        <w:rPr>
          <w:rFonts w:asciiTheme="minorHAnsi" w:hAnsiTheme="minorHAnsi"/>
          <w:color w:val="000000"/>
        </w:rPr>
      </w:pPr>
      <w:r w:rsidRPr="00F42477">
        <w:rPr>
          <w:rStyle w:val="Strong"/>
          <w:rFonts w:asciiTheme="minorHAnsi" w:eastAsiaTheme="majorEastAsia" w:hAnsiTheme="minorHAnsi"/>
          <w:color w:val="000000"/>
        </w:rPr>
        <w:t>momentum:</w:t>
      </w:r>
      <w:r w:rsidRPr="00F42477">
        <w:rPr>
          <w:rStyle w:val="apple-converted-space"/>
          <w:rFonts w:asciiTheme="minorHAnsi" w:eastAsiaTheme="majorEastAsia" w:hAnsiTheme="minorHAnsi"/>
          <w:color w:val="000000"/>
        </w:rPr>
        <w:t> </w:t>
      </w:r>
      <w:r w:rsidRPr="00F42477">
        <w:rPr>
          <w:rFonts w:asciiTheme="minorHAnsi" w:hAnsiTheme="minorHAnsi"/>
          <w:color w:val="000000"/>
        </w:rPr>
        <w:t>3-day gold price rate of change, providing market context as a model input.</w:t>
      </w:r>
    </w:p>
    <w:p w14:paraId="7648A159" w14:textId="77777777" w:rsidR="00F42477" w:rsidRPr="00F42477" w:rsidRDefault="00F42477" w:rsidP="00F42477">
      <w:pPr>
        <w:pStyle w:val="whitespace-normal"/>
        <w:numPr>
          <w:ilvl w:val="0"/>
          <w:numId w:val="3"/>
        </w:numPr>
        <w:rPr>
          <w:rFonts w:asciiTheme="minorHAnsi" w:hAnsiTheme="minorHAnsi"/>
          <w:color w:val="000000"/>
        </w:rPr>
      </w:pPr>
      <w:r w:rsidRPr="00F42477">
        <w:rPr>
          <w:rStyle w:val="Strong"/>
          <w:rFonts w:asciiTheme="minorHAnsi" w:eastAsiaTheme="majorEastAsia" w:hAnsiTheme="minorHAnsi"/>
          <w:color w:val="000000"/>
        </w:rPr>
        <w:t>is_night / is_weekend:</w:t>
      </w:r>
      <w:r w:rsidRPr="00F42477">
        <w:rPr>
          <w:rStyle w:val="apple-converted-space"/>
          <w:rFonts w:asciiTheme="minorHAnsi" w:eastAsiaTheme="majorEastAsia" w:hAnsiTheme="minorHAnsi"/>
          <w:color w:val="000000"/>
        </w:rPr>
        <w:t> </w:t>
      </w:r>
      <w:r w:rsidRPr="00F42477">
        <w:rPr>
          <w:rFonts w:asciiTheme="minorHAnsi" w:hAnsiTheme="minorHAnsi"/>
          <w:color w:val="000000"/>
        </w:rPr>
        <w:t>Binary indicators flagging transactions occurring between 00:00–06:00 or on weekends.</w:t>
      </w:r>
    </w:p>
    <w:p w14:paraId="5B62CFF0" w14:textId="77777777" w:rsidR="00F42477" w:rsidRDefault="00F42477" w:rsidP="00F42477">
      <w:pPr>
        <w:pStyle w:val="ListParagraph"/>
        <w:numPr>
          <w:ilvl w:val="0"/>
          <w:numId w:val="1"/>
        </w:numPr>
        <w:rPr>
          <w:color w:val="000000"/>
        </w:rPr>
      </w:pPr>
      <w:r>
        <w:rPr>
          <w:color w:val="000000"/>
        </w:rPr>
        <w:t xml:space="preserve">METHODOLOGY </w:t>
      </w:r>
    </w:p>
    <w:p w14:paraId="78D006B9" w14:textId="77777777" w:rsidR="00F42477" w:rsidRDefault="00F42477" w:rsidP="00F42477">
      <w:pPr>
        <w:pStyle w:val="ListParagraph"/>
        <w:ind w:left="1080"/>
        <w:rPr>
          <w:color w:val="000000"/>
        </w:rPr>
      </w:pPr>
      <w:r w:rsidRPr="00F42477">
        <w:rPr>
          <w:color w:val="000000"/>
        </w:rPr>
        <w:t>Two models were employed in this study. The primary model, Isolation Forest, is an unsupervised ensemble method that operates without labeled data and scales efficiently to high-dimensional tabular data. Its core assumption is that anomalous observations require fewer random partitions to isolate than normal ones; the model was configured with a contamination rate of 0.03 and 100 estimators. To establish an upper-bound reference, a supervised Random Forest classifier was additionally trained using balanced class weights (class_weight = 'balanced'), with an 80/20 stratified train-test split applied to preserve the anomaly class ratio across both subsets.</w:t>
      </w:r>
      <w:r>
        <w:rPr>
          <w:color w:val="000000"/>
        </w:rPr>
        <w:t xml:space="preserve"> </w:t>
      </w:r>
    </w:p>
    <w:p w14:paraId="5F9ECD8F" w14:textId="77777777" w:rsidR="00F42477" w:rsidRDefault="00F42477" w:rsidP="00F42477">
      <w:pPr>
        <w:rPr>
          <w:color w:val="000000"/>
        </w:rPr>
      </w:pPr>
    </w:p>
    <w:p w14:paraId="6A40C56E" w14:textId="77777777" w:rsidR="00F42477" w:rsidRDefault="00F42477" w:rsidP="00F42477">
      <w:pPr>
        <w:pStyle w:val="ListParagraph"/>
        <w:numPr>
          <w:ilvl w:val="0"/>
          <w:numId w:val="1"/>
        </w:numPr>
        <w:rPr>
          <w:color w:val="000000"/>
        </w:rPr>
      </w:pPr>
      <w:r>
        <w:rPr>
          <w:color w:val="000000"/>
        </w:rPr>
        <w:t xml:space="preserve">EXPERIMENTAL RESULTS </w:t>
      </w:r>
    </w:p>
    <w:p w14:paraId="51E30F09" w14:textId="77777777" w:rsidR="0094480A" w:rsidRPr="0094480A" w:rsidRDefault="0094480A" w:rsidP="0094480A">
      <w:pPr>
        <w:pStyle w:val="ListParagraph"/>
        <w:spacing w:after="100"/>
        <w:ind w:left="1080"/>
        <w:rPr>
          <w:rFonts w:eastAsia="Times New Roman" w:cs="Times New Roman"/>
          <w:color w:val="000000"/>
        </w:rPr>
      </w:pPr>
    </w:p>
    <w:p w14:paraId="0EC4B2B3" w14:textId="77777777" w:rsidR="0094480A" w:rsidRPr="0094480A" w:rsidRDefault="0094480A" w:rsidP="0094480A">
      <w:pPr>
        <w:spacing w:after="100"/>
        <w:rPr>
          <w:color w:val="000000"/>
        </w:rPr>
      </w:pPr>
      <w:r w:rsidRPr="0094480A">
        <w:rPr>
          <w:rFonts w:eastAsia="Times New Roman" w:cs="Times New Roman"/>
          <w:color w:val="000000"/>
        </w:rPr>
        <w:t xml:space="preserve">Table 1, shows the classification performance of the </w:t>
      </w:r>
      <w:r w:rsidRPr="0094480A">
        <w:rPr>
          <w:color w:val="000000"/>
        </w:rPr>
        <w:t>Isolation Forest</w:t>
      </w:r>
      <w:r w:rsidRPr="0094480A">
        <w:rPr>
          <w:color w:val="000000"/>
        </w:rPr>
        <w:t xml:space="preserve"> </w:t>
      </w:r>
      <w:r w:rsidRPr="0094480A">
        <w:rPr>
          <w:color w:val="000000"/>
        </w:rPr>
        <w:t>model</w:t>
      </w:r>
      <w:r w:rsidRPr="0094480A">
        <w:rPr>
          <w:color w:val="000000"/>
        </w:rPr>
        <w:t xml:space="preserve"> </w:t>
      </w:r>
      <w:r w:rsidRPr="0094480A">
        <w:rPr>
          <w:color w:val="000000"/>
        </w:rPr>
        <w:t>The model correctly identifies normal transactions with perfect precision and recall (1.00), while achieving 0.90 precision and recall on the anomaly class. Overall accuracy across all 15,000 transactions reaches 99%.</w:t>
      </w:r>
      <w:r w:rsidRPr="0094480A">
        <w:rPr>
          <w:color w:val="000000"/>
        </w:rPr>
        <w:t xml:space="preserve"> </w:t>
      </w:r>
      <w:r w:rsidRPr="0094480A">
        <w:rPr>
          <w:color w:val="000000"/>
        </w:rPr>
        <w:t>The confusion matrix further confirms that 14,505 normal and 405 anomalous transactions are correctly classified, with only 45 false positives and 45 false negatives.</w:t>
      </w:r>
      <w:r w:rsidRPr="0094480A">
        <w:rPr>
          <w:color w:val="000000"/>
        </w:rPr>
        <w:t xml:space="preserve"> </w:t>
      </w:r>
    </w:p>
    <w:p w14:paraId="2B083C1E" w14:textId="77777777" w:rsidR="0094480A" w:rsidRPr="0094480A" w:rsidRDefault="0094480A" w:rsidP="0094480A">
      <w:pPr>
        <w:spacing w:after="100"/>
        <w:rPr>
          <w:color w:val="000000"/>
        </w:rPr>
      </w:pPr>
      <w:r w:rsidRPr="0094480A">
        <w:rPr>
          <w:color w:val="000000"/>
        </w:rPr>
        <w:t>Table II presents the performance of the supervised baseline. The model achieves near-perfect results across all metrics, with anomaly recall reaching 1.00 — meaning no fraudulent transaction in the test set goes undetected.</w:t>
      </w:r>
      <w:r w:rsidRPr="0094480A">
        <w:rPr>
          <w:color w:val="000000"/>
        </w:rPr>
        <w:t xml:space="preserve"> </w:t>
      </w:r>
      <w:r w:rsidRPr="0094480A">
        <w:rPr>
          <w:color w:val="000000"/>
        </w:rPr>
        <w:t>Feature importance analysis reveals that amount_in_grams (42.2%), amount_usd (38.7%), and amount_zscore (18.2%) are the three most discriminative features, confirming that user-level normalization is essential for separating anomalous behavior from normal activity.</w:t>
      </w:r>
      <w:r w:rsidRPr="0094480A">
        <w:rPr>
          <w:color w:val="000000"/>
        </w:rPr>
        <w:t xml:space="preserve"> </w:t>
      </w:r>
    </w:p>
    <w:p w14:paraId="75F7227D" w14:textId="77777777" w:rsidR="0094480A" w:rsidRPr="0094480A" w:rsidRDefault="0094480A" w:rsidP="0094480A">
      <w:pPr>
        <w:spacing w:after="100"/>
        <w:rPr>
          <w:rFonts w:eastAsia="Times New Roman" w:cs="Times New Roman"/>
          <w:color w:val="000000"/>
        </w:rPr>
      </w:pPr>
      <w:r w:rsidRPr="0094480A">
        <w:rPr>
          <w:color w:val="000000"/>
        </w:rPr>
        <w:t>Table III summarizes the three-tier alert system derived from model anomaly scores. Thresholds are set at the 75th and 95th percentiles of the score distribution, routing the majority of transactions through normally while escalating high-risk cases to compliance.</w:t>
      </w:r>
      <w:r w:rsidRPr="0094480A">
        <w:rPr>
          <w:color w:val="000000"/>
        </w:rPr>
        <w:t xml:space="preserve"> </w:t>
      </w:r>
      <w:r w:rsidRPr="0094480A">
        <w:rPr>
          <w:color w:val="000000"/>
        </w:rPr>
        <w:lastRenderedPageBreak/>
        <w:t>Of the 15,000 transactions analysed, 750 (5%) are flagged as critical alerts requiring immediate action, while 3,000 (20%) are queued for manual review.</w:t>
      </w:r>
      <w:r w:rsidRPr="0094480A">
        <w:rPr>
          <w:color w:val="000000"/>
        </w:rPr>
        <w:t xml:space="preserve"> </w:t>
      </w:r>
    </w:p>
    <w:p w14:paraId="24F2FC37" w14:textId="77777777" w:rsidR="0094480A" w:rsidRDefault="0094480A" w:rsidP="0094480A">
      <w:pPr>
        <w:pStyle w:val="ListParagraph"/>
        <w:spacing w:after="100"/>
        <w:ind w:left="1080"/>
        <w:rPr>
          <w:rFonts w:ascii="Times New Roman" w:eastAsia="Times New Roman" w:hAnsi="Times New Roman" w:cs="Times New Roman"/>
          <w:i/>
          <w:iCs/>
          <w:color w:val="000000"/>
          <w:sz w:val="22"/>
          <w:szCs w:val="22"/>
        </w:rPr>
      </w:pPr>
      <w:r>
        <w:rPr>
          <w:rFonts w:ascii="Times New Roman" w:eastAsia="Times New Roman" w:hAnsi="Times New Roman" w:cs="Times New Roman"/>
          <w:i/>
          <w:iCs/>
          <w:color w:val="000000"/>
          <w:sz w:val="22"/>
          <w:szCs w:val="22"/>
        </w:rPr>
        <w:t xml:space="preserve">               </w:t>
      </w:r>
    </w:p>
    <w:p w14:paraId="18C2858D" w14:textId="77777777" w:rsidR="0094480A" w:rsidRDefault="0094480A" w:rsidP="0094480A">
      <w:pPr>
        <w:pStyle w:val="ListParagraph"/>
        <w:spacing w:after="100"/>
        <w:ind w:left="1080"/>
      </w:pPr>
      <w:r>
        <w:rPr>
          <w:rFonts w:ascii="Times New Roman" w:eastAsia="Times New Roman" w:hAnsi="Times New Roman" w:cs="Times New Roman"/>
          <w:i/>
          <w:iCs/>
          <w:color w:val="000000"/>
          <w:sz w:val="22"/>
          <w:szCs w:val="22"/>
        </w:rPr>
        <w:t xml:space="preserve">                     </w:t>
      </w:r>
      <w:r w:rsidRPr="0094480A">
        <w:rPr>
          <w:rFonts w:ascii="Times New Roman" w:eastAsia="Times New Roman" w:hAnsi="Times New Roman" w:cs="Times New Roman"/>
          <w:i/>
          <w:iCs/>
          <w:color w:val="000000"/>
          <w:sz w:val="22"/>
          <w:szCs w:val="22"/>
        </w:rPr>
        <w:t>TABLE I — Isolation Forest Classification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7"/>
        <w:gridCol w:w="2187"/>
        <w:gridCol w:w="2186"/>
      </w:tblGrid>
      <w:tr w:rsidR="0094480A" w14:paraId="117CAA1C" w14:textId="77777777" w:rsidTr="00FE2977">
        <w:tblPrEx>
          <w:tblCellMar>
            <w:top w:w="0" w:type="dxa"/>
            <w:bottom w:w="0" w:type="dxa"/>
          </w:tblCellMar>
        </w:tblPrEx>
        <w:trPr>
          <w:tblHeader/>
        </w:trPr>
        <w:tc>
          <w:tcPr>
            <w:tcW w:w="2800" w:type="dxa"/>
            <w:tcBorders>
              <w:top w:val="single" w:sz="4" w:space="0" w:color="2E5E9E"/>
              <w:left w:val="single" w:sz="4" w:space="0" w:color="2E5E9E"/>
              <w:bottom w:val="single" w:sz="4" w:space="0" w:color="2E5E9E"/>
              <w:right w:val="single" w:sz="4" w:space="0" w:color="2E5E9E"/>
            </w:tcBorders>
            <w:shd w:val="clear" w:color="auto" w:fill="2E5E9E"/>
            <w:tcMar>
              <w:top w:w="80" w:type="dxa"/>
              <w:left w:w="120" w:type="dxa"/>
              <w:bottom w:w="80" w:type="dxa"/>
              <w:right w:w="120" w:type="dxa"/>
            </w:tcMar>
          </w:tcPr>
          <w:p w14:paraId="798A3535" w14:textId="77777777" w:rsidR="0094480A" w:rsidRDefault="0094480A" w:rsidP="00FE2977">
            <w:pPr>
              <w:jc w:val="center"/>
            </w:pPr>
            <w:r>
              <w:rPr>
                <w:rFonts w:ascii="Times New Roman" w:eastAsia="Times New Roman" w:hAnsi="Times New Roman" w:cs="Times New Roman"/>
                <w:b/>
                <w:bCs/>
                <w:color w:val="FFFFFF"/>
                <w:sz w:val="20"/>
                <w:szCs w:val="20"/>
              </w:rPr>
              <w:t>Class</w:t>
            </w:r>
          </w:p>
        </w:tc>
        <w:tc>
          <w:tcPr>
            <w:tcW w:w="2187" w:type="dxa"/>
            <w:tcBorders>
              <w:top w:val="single" w:sz="4" w:space="0" w:color="2E5E9E"/>
              <w:left w:val="single" w:sz="4" w:space="0" w:color="2E5E9E"/>
              <w:bottom w:val="single" w:sz="4" w:space="0" w:color="2E5E9E"/>
              <w:right w:val="single" w:sz="4" w:space="0" w:color="2E5E9E"/>
            </w:tcBorders>
            <w:shd w:val="clear" w:color="auto" w:fill="2E5E9E"/>
            <w:tcMar>
              <w:top w:w="80" w:type="dxa"/>
              <w:left w:w="120" w:type="dxa"/>
              <w:bottom w:w="80" w:type="dxa"/>
              <w:right w:w="120" w:type="dxa"/>
            </w:tcMar>
          </w:tcPr>
          <w:p w14:paraId="46281AEE" w14:textId="77777777" w:rsidR="0094480A" w:rsidRDefault="0094480A" w:rsidP="00FE2977">
            <w:pPr>
              <w:jc w:val="center"/>
            </w:pPr>
            <w:r>
              <w:rPr>
                <w:rFonts w:ascii="Times New Roman" w:eastAsia="Times New Roman" w:hAnsi="Times New Roman" w:cs="Times New Roman"/>
                <w:b/>
                <w:bCs/>
                <w:color w:val="FFFFFF"/>
                <w:sz w:val="20"/>
                <w:szCs w:val="20"/>
              </w:rPr>
              <w:t>Precision</w:t>
            </w:r>
          </w:p>
        </w:tc>
        <w:tc>
          <w:tcPr>
            <w:tcW w:w="2187" w:type="dxa"/>
            <w:tcBorders>
              <w:top w:val="single" w:sz="4" w:space="0" w:color="2E5E9E"/>
              <w:left w:val="single" w:sz="4" w:space="0" w:color="2E5E9E"/>
              <w:bottom w:val="single" w:sz="4" w:space="0" w:color="2E5E9E"/>
              <w:right w:val="single" w:sz="4" w:space="0" w:color="2E5E9E"/>
            </w:tcBorders>
            <w:shd w:val="clear" w:color="auto" w:fill="2E5E9E"/>
            <w:tcMar>
              <w:top w:w="80" w:type="dxa"/>
              <w:left w:w="120" w:type="dxa"/>
              <w:bottom w:w="80" w:type="dxa"/>
              <w:right w:w="120" w:type="dxa"/>
            </w:tcMar>
          </w:tcPr>
          <w:p w14:paraId="0B9DECDD" w14:textId="77777777" w:rsidR="0094480A" w:rsidRDefault="0094480A" w:rsidP="00FE2977">
            <w:pPr>
              <w:jc w:val="center"/>
            </w:pPr>
            <w:r>
              <w:rPr>
                <w:rFonts w:ascii="Times New Roman" w:eastAsia="Times New Roman" w:hAnsi="Times New Roman" w:cs="Times New Roman"/>
                <w:b/>
                <w:bCs/>
                <w:color w:val="FFFFFF"/>
                <w:sz w:val="20"/>
                <w:szCs w:val="20"/>
              </w:rPr>
              <w:t>Recall</w:t>
            </w:r>
          </w:p>
        </w:tc>
        <w:tc>
          <w:tcPr>
            <w:tcW w:w="2186" w:type="dxa"/>
            <w:tcBorders>
              <w:top w:val="single" w:sz="4" w:space="0" w:color="2E5E9E"/>
              <w:left w:val="single" w:sz="4" w:space="0" w:color="2E5E9E"/>
              <w:bottom w:val="single" w:sz="4" w:space="0" w:color="2E5E9E"/>
              <w:right w:val="single" w:sz="4" w:space="0" w:color="2E5E9E"/>
            </w:tcBorders>
            <w:shd w:val="clear" w:color="auto" w:fill="2E5E9E"/>
            <w:tcMar>
              <w:top w:w="80" w:type="dxa"/>
              <w:left w:w="120" w:type="dxa"/>
              <w:bottom w:w="80" w:type="dxa"/>
              <w:right w:w="120" w:type="dxa"/>
            </w:tcMar>
          </w:tcPr>
          <w:p w14:paraId="449489F1" w14:textId="77777777" w:rsidR="0094480A" w:rsidRDefault="0094480A" w:rsidP="00FE2977">
            <w:pPr>
              <w:jc w:val="center"/>
            </w:pPr>
            <w:r>
              <w:rPr>
                <w:rFonts w:ascii="Times New Roman" w:eastAsia="Times New Roman" w:hAnsi="Times New Roman" w:cs="Times New Roman"/>
                <w:b/>
                <w:bCs/>
                <w:color w:val="FFFFFF"/>
                <w:sz w:val="20"/>
                <w:szCs w:val="20"/>
              </w:rPr>
              <w:t>F1</w:t>
            </w:r>
          </w:p>
        </w:tc>
      </w:tr>
      <w:tr w:rsidR="0094480A" w14:paraId="04F6724E" w14:textId="77777777" w:rsidTr="00FE2977">
        <w:tblPrEx>
          <w:tblCellMar>
            <w:top w:w="0" w:type="dxa"/>
            <w:bottom w:w="0" w:type="dxa"/>
          </w:tblCellMar>
        </w:tblPrEx>
        <w:tc>
          <w:tcPr>
            <w:tcW w:w="2800" w:type="dxa"/>
            <w:tcBorders>
              <w:top w:val="single" w:sz="4" w:space="0" w:color="2E5E9E"/>
              <w:left w:val="single" w:sz="4" w:space="0" w:color="2E5E9E"/>
              <w:bottom w:val="single" w:sz="4" w:space="0" w:color="2E5E9E"/>
              <w:right w:val="single" w:sz="4" w:space="0" w:color="2E5E9E"/>
            </w:tcBorders>
            <w:shd w:val="clear" w:color="auto" w:fill="FFFFFF"/>
            <w:tcMar>
              <w:top w:w="80" w:type="dxa"/>
              <w:left w:w="120" w:type="dxa"/>
              <w:bottom w:w="80" w:type="dxa"/>
              <w:right w:w="120" w:type="dxa"/>
            </w:tcMar>
          </w:tcPr>
          <w:p w14:paraId="7696B98D" w14:textId="77777777" w:rsidR="0094480A" w:rsidRDefault="0094480A" w:rsidP="00FE2977">
            <w:r>
              <w:rPr>
                <w:rFonts w:ascii="Times New Roman" w:eastAsia="Times New Roman" w:hAnsi="Times New Roman" w:cs="Times New Roman"/>
                <w:color w:val="000000"/>
                <w:sz w:val="20"/>
                <w:szCs w:val="20"/>
              </w:rPr>
              <w:t>Normal</w:t>
            </w:r>
          </w:p>
        </w:tc>
        <w:tc>
          <w:tcPr>
            <w:tcW w:w="2187" w:type="dxa"/>
            <w:tcBorders>
              <w:top w:val="single" w:sz="4" w:space="0" w:color="2E5E9E"/>
              <w:left w:val="single" w:sz="4" w:space="0" w:color="2E5E9E"/>
              <w:bottom w:val="single" w:sz="4" w:space="0" w:color="2E5E9E"/>
              <w:right w:val="single" w:sz="4" w:space="0" w:color="2E5E9E"/>
            </w:tcBorders>
            <w:shd w:val="clear" w:color="auto" w:fill="FFFFFF"/>
            <w:tcMar>
              <w:top w:w="80" w:type="dxa"/>
              <w:left w:w="120" w:type="dxa"/>
              <w:bottom w:w="80" w:type="dxa"/>
              <w:right w:w="120" w:type="dxa"/>
            </w:tcMar>
          </w:tcPr>
          <w:p w14:paraId="0F595E12" w14:textId="77777777" w:rsidR="0094480A" w:rsidRDefault="0094480A" w:rsidP="00FE2977">
            <w:pPr>
              <w:jc w:val="center"/>
            </w:pPr>
            <w:r>
              <w:rPr>
                <w:rFonts w:ascii="Times New Roman" w:eastAsia="Times New Roman" w:hAnsi="Times New Roman" w:cs="Times New Roman"/>
                <w:color w:val="000000"/>
                <w:sz w:val="20"/>
                <w:szCs w:val="20"/>
              </w:rPr>
              <w:t>1.00</w:t>
            </w:r>
          </w:p>
        </w:tc>
        <w:tc>
          <w:tcPr>
            <w:tcW w:w="2187" w:type="dxa"/>
            <w:tcBorders>
              <w:top w:val="single" w:sz="4" w:space="0" w:color="2E5E9E"/>
              <w:left w:val="single" w:sz="4" w:space="0" w:color="2E5E9E"/>
              <w:bottom w:val="single" w:sz="4" w:space="0" w:color="2E5E9E"/>
              <w:right w:val="single" w:sz="4" w:space="0" w:color="2E5E9E"/>
            </w:tcBorders>
            <w:shd w:val="clear" w:color="auto" w:fill="FFFFFF"/>
            <w:tcMar>
              <w:top w:w="80" w:type="dxa"/>
              <w:left w:w="120" w:type="dxa"/>
              <w:bottom w:w="80" w:type="dxa"/>
              <w:right w:w="120" w:type="dxa"/>
            </w:tcMar>
          </w:tcPr>
          <w:p w14:paraId="727A9827" w14:textId="77777777" w:rsidR="0094480A" w:rsidRDefault="0094480A" w:rsidP="00FE2977">
            <w:pPr>
              <w:jc w:val="center"/>
            </w:pPr>
            <w:r>
              <w:rPr>
                <w:rFonts w:ascii="Times New Roman" w:eastAsia="Times New Roman" w:hAnsi="Times New Roman" w:cs="Times New Roman"/>
                <w:color w:val="000000"/>
                <w:sz w:val="20"/>
                <w:szCs w:val="20"/>
              </w:rPr>
              <w:t>1.00</w:t>
            </w:r>
          </w:p>
        </w:tc>
        <w:tc>
          <w:tcPr>
            <w:tcW w:w="2186" w:type="dxa"/>
            <w:tcBorders>
              <w:top w:val="single" w:sz="4" w:space="0" w:color="2E5E9E"/>
              <w:left w:val="single" w:sz="4" w:space="0" w:color="2E5E9E"/>
              <w:bottom w:val="single" w:sz="4" w:space="0" w:color="2E5E9E"/>
              <w:right w:val="single" w:sz="4" w:space="0" w:color="2E5E9E"/>
            </w:tcBorders>
            <w:shd w:val="clear" w:color="auto" w:fill="FFFFFF"/>
            <w:tcMar>
              <w:top w:w="80" w:type="dxa"/>
              <w:left w:w="120" w:type="dxa"/>
              <w:bottom w:w="80" w:type="dxa"/>
              <w:right w:w="120" w:type="dxa"/>
            </w:tcMar>
          </w:tcPr>
          <w:p w14:paraId="642BF22C" w14:textId="77777777" w:rsidR="0094480A" w:rsidRDefault="0094480A" w:rsidP="00FE2977">
            <w:pPr>
              <w:jc w:val="center"/>
            </w:pPr>
            <w:r>
              <w:rPr>
                <w:rFonts w:ascii="Times New Roman" w:eastAsia="Times New Roman" w:hAnsi="Times New Roman" w:cs="Times New Roman"/>
                <w:color w:val="000000"/>
                <w:sz w:val="20"/>
                <w:szCs w:val="20"/>
              </w:rPr>
              <w:t>1.00</w:t>
            </w:r>
          </w:p>
        </w:tc>
      </w:tr>
      <w:tr w:rsidR="0094480A" w14:paraId="23679D0A" w14:textId="77777777" w:rsidTr="00FE2977">
        <w:tblPrEx>
          <w:tblCellMar>
            <w:top w:w="0" w:type="dxa"/>
            <w:bottom w:w="0" w:type="dxa"/>
          </w:tblCellMar>
        </w:tblPrEx>
        <w:tc>
          <w:tcPr>
            <w:tcW w:w="2800" w:type="dxa"/>
            <w:tcBorders>
              <w:top w:val="single" w:sz="4" w:space="0" w:color="2E5E9E"/>
              <w:left w:val="single" w:sz="4" w:space="0" w:color="2E5E9E"/>
              <w:bottom w:val="single" w:sz="4" w:space="0" w:color="2E5E9E"/>
              <w:right w:val="single" w:sz="4" w:space="0" w:color="2E5E9E"/>
            </w:tcBorders>
            <w:shd w:val="clear" w:color="auto" w:fill="FFF3F3"/>
            <w:tcMar>
              <w:top w:w="80" w:type="dxa"/>
              <w:left w:w="120" w:type="dxa"/>
              <w:bottom w:w="80" w:type="dxa"/>
              <w:right w:w="120" w:type="dxa"/>
            </w:tcMar>
          </w:tcPr>
          <w:p w14:paraId="7D8BD886" w14:textId="77777777" w:rsidR="0094480A" w:rsidRDefault="0094480A" w:rsidP="00FE2977">
            <w:r>
              <w:rPr>
                <w:rFonts w:ascii="Times New Roman" w:eastAsia="Times New Roman" w:hAnsi="Times New Roman" w:cs="Times New Roman"/>
                <w:color w:val="000000"/>
                <w:sz w:val="20"/>
                <w:szCs w:val="20"/>
              </w:rPr>
              <w:t>Anomaly</w:t>
            </w:r>
          </w:p>
        </w:tc>
        <w:tc>
          <w:tcPr>
            <w:tcW w:w="2187" w:type="dxa"/>
            <w:tcBorders>
              <w:top w:val="single" w:sz="4" w:space="0" w:color="2E5E9E"/>
              <w:left w:val="single" w:sz="4" w:space="0" w:color="2E5E9E"/>
              <w:bottom w:val="single" w:sz="4" w:space="0" w:color="2E5E9E"/>
              <w:right w:val="single" w:sz="4" w:space="0" w:color="2E5E9E"/>
            </w:tcBorders>
            <w:shd w:val="clear" w:color="auto" w:fill="FFF3F3"/>
            <w:tcMar>
              <w:top w:w="80" w:type="dxa"/>
              <w:left w:w="120" w:type="dxa"/>
              <w:bottom w:w="80" w:type="dxa"/>
              <w:right w:w="120" w:type="dxa"/>
            </w:tcMar>
          </w:tcPr>
          <w:p w14:paraId="78FE83BD" w14:textId="77777777" w:rsidR="0094480A" w:rsidRDefault="0094480A" w:rsidP="00FE2977">
            <w:pPr>
              <w:jc w:val="center"/>
            </w:pPr>
            <w:r>
              <w:rPr>
                <w:rFonts w:ascii="Times New Roman" w:eastAsia="Times New Roman" w:hAnsi="Times New Roman" w:cs="Times New Roman"/>
                <w:color w:val="000000"/>
                <w:sz w:val="20"/>
                <w:szCs w:val="20"/>
              </w:rPr>
              <w:t>0.90</w:t>
            </w:r>
          </w:p>
        </w:tc>
        <w:tc>
          <w:tcPr>
            <w:tcW w:w="2187" w:type="dxa"/>
            <w:tcBorders>
              <w:top w:val="single" w:sz="4" w:space="0" w:color="2E5E9E"/>
              <w:left w:val="single" w:sz="4" w:space="0" w:color="2E5E9E"/>
              <w:bottom w:val="single" w:sz="4" w:space="0" w:color="2E5E9E"/>
              <w:right w:val="single" w:sz="4" w:space="0" w:color="2E5E9E"/>
            </w:tcBorders>
            <w:shd w:val="clear" w:color="auto" w:fill="FFF3F3"/>
            <w:tcMar>
              <w:top w:w="80" w:type="dxa"/>
              <w:left w:w="120" w:type="dxa"/>
              <w:bottom w:w="80" w:type="dxa"/>
              <w:right w:w="120" w:type="dxa"/>
            </w:tcMar>
          </w:tcPr>
          <w:p w14:paraId="5710DBA0" w14:textId="77777777" w:rsidR="0094480A" w:rsidRDefault="0094480A" w:rsidP="00FE2977">
            <w:pPr>
              <w:jc w:val="center"/>
            </w:pPr>
            <w:r>
              <w:rPr>
                <w:rFonts w:ascii="Times New Roman" w:eastAsia="Times New Roman" w:hAnsi="Times New Roman" w:cs="Times New Roman"/>
                <w:color w:val="000000"/>
                <w:sz w:val="20"/>
                <w:szCs w:val="20"/>
              </w:rPr>
              <w:t>0.90</w:t>
            </w:r>
          </w:p>
        </w:tc>
        <w:tc>
          <w:tcPr>
            <w:tcW w:w="2186" w:type="dxa"/>
            <w:tcBorders>
              <w:top w:val="single" w:sz="4" w:space="0" w:color="2E5E9E"/>
              <w:left w:val="single" w:sz="4" w:space="0" w:color="2E5E9E"/>
              <w:bottom w:val="single" w:sz="4" w:space="0" w:color="2E5E9E"/>
              <w:right w:val="single" w:sz="4" w:space="0" w:color="2E5E9E"/>
            </w:tcBorders>
            <w:shd w:val="clear" w:color="auto" w:fill="FFF3F3"/>
            <w:tcMar>
              <w:top w:w="80" w:type="dxa"/>
              <w:left w:w="120" w:type="dxa"/>
              <w:bottom w:w="80" w:type="dxa"/>
              <w:right w:w="120" w:type="dxa"/>
            </w:tcMar>
          </w:tcPr>
          <w:p w14:paraId="3CC66D9B" w14:textId="77777777" w:rsidR="0094480A" w:rsidRDefault="0094480A" w:rsidP="00FE2977">
            <w:pPr>
              <w:jc w:val="center"/>
            </w:pPr>
            <w:r>
              <w:rPr>
                <w:rFonts w:ascii="Times New Roman" w:eastAsia="Times New Roman" w:hAnsi="Times New Roman" w:cs="Times New Roman"/>
                <w:color w:val="000000"/>
                <w:sz w:val="20"/>
                <w:szCs w:val="20"/>
              </w:rPr>
              <w:t>0.90</w:t>
            </w:r>
          </w:p>
        </w:tc>
      </w:tr>
      <w:tr w:rsidR="0094480A" w14:paraId="4F73D82B" w14:textId="77777777" w:rsidTr="00FE2977">
        <w:tblPrEx>
          <w:tblCellMar>
            <w:top w:w="0" w:type="dxa"/>
            <w:bottom w:w="0" w:type="dxa"/>
          </w:tblCellMar>
        </w:tblPrEx>
        <w:tc>
          <w:tcPr>
            <w:tcW w:w="2800" w:type="dxa"/>
            <w:tcBorders>
              <w:top w:val="single" w:sz="4" w:space="0" w:color="2E5E9E"/>
              <w:left w:val="single" w:sz="4" w:space="0" w:color="2E5E9E"/>
              <w:bottom w:val="single" w:sz="4" w:space="0" w:color="2E5E9E"/>
              <w:right w:val="single" w:sz="4" w:space="0" w:color="2E5E9E"/>
            </w:tcBorders>
            <w:shd w:val="clear" w:color="auto" w:fill="EEF2F8"/>
            <w:tcMar>
              <w:top w:w="80" w:type="dxa"/>
              <w:left w:w="120" w:type="dxa"/>
              <w:bottom w:w="80" w:type="dxa"/>
              <w:right w:w="120" w:type="dxa"/>
            </w:tcMar>
          </w:tcPr>
          <w:p w14:paraId="59005848" w14:textId="77777777" w:rsidR="0094480A" w:rsidRDefault="0094480A" w:rsidP="00FE2977">
            <w:r>
              <w:rPr>
                <w:rFonts w:ascii="Times New Roman" w:eastAsia="Times New Roman" w:hAnsi="Times New Roman" w:cs="Times New Roman"/>
                <w:b/>
                <w:bCs/>
                <w:color w:val="000000"/>
                <w:sz w:val="20"/>
                <w:szCs w:val="20"/>
              </w:rPr>
              <w:t>Overall Accuracy</w:t>
            </w:r>
          </w:p>
        </w:tc>
        <w:tc>
          <w:tcPr>
            <w:tcW w:w="2187" w:type="dxa"/>
            <w:tcBorders>
              <w:top w:val="single" w:sz="4" w:space="0" w:color="2E5E9E"/>
              <w:left w:val="single" w:sz="4" w:space="0" w:color="2E5E9E"/>
              <w:bottom w:val="single" w:sz="4" w:space="0" w:color="2E5E9E"/>
              <w:right w:val="single" w:sz="4" w:space="0" w:color="2E5E9E"/>
            </w:tcBorders>
            <w:shd w:val="clear" w:color="auto" w:fill="EEF2F8"/>
            <w:tcMar>
              <w:top w:w="80" w:type="dxa"/>
              <w:left w:w="120" w:type="dxa"/>
              <w:bottom w:w="80" w:type="dxa"/>
              <w:right w:w="120" w:type="dxa"/>
            </w:tcMar>
          </w:tcPr>
          <w:p w14:paraId="7D479F37" w14:textId="77777777" w:rsidR="0094480A" w:rsidRDefault="0094480A" w:rsidP="00FE2977">
            <w:pPr>
              <w:jc w:val="center"/>
            </w:pPr>
          </w:p>
        </w:tc>
        <w:tc>
          <w:tcPr>
            <w:tcW w:w="2187" w:type="dxa"/>
            <w:tcBorders>
              <w:top w:val="single" w:sz="4" w:space="0" w:color="2E5E9E"/>
              <w:left w:val="single" w:sz="4" w:space="0" w:color="2E5E9E"/>
              <w:bottom w:val="single" w:sz="4" w:space="0" w:color="2E5E9E"/>
              <w:right w:val="single" w:sz="4" w:space="0" w:color="2E5E9E"/>
            </w:tcBorders>
            <w:shd w:val="clear" w:color="auto" w:fill="EEF2F8"/>
            <w:tcMar>
              <w:top w:w="80" w:type="dxa"/>
              <w:left w:w="120" w:type="dxa"/>
              <w:bottom w:w="80" w:type="dxa"/>
              <w:right w:w="120" w:type="dxa"/>
            </w:tcMar>
          </w:tcPr>
          <w:p w14:paraId="3FB3F1BF" w14:textId="77777777" w:rsidR="0094480A" w:rsidRDefault="0094480A" w:rsidP="00FE2977">
            <w:pPr>
              <w:jc w:val="center"/>
            </w:pPr>
          </w:p>
        </w:tc>
        <w:tc>
          <w:tcPr>
            <w:tcW w:w="2186" w:type="dxa"/>
            <w:tcBorders>
              <w:top w:val="single" w:sz="4" w:space="0" w:color="2E5E9E"/>
              <w:left w:val="single" w:sz="4" w:space="0" w:color="2E5E9E"/>
              <w:bottom w:val="single" w:sz="4" w:space="0" w:color="2E5E9E"/>
              <w:right w:val="single" w:sz="4" w:space="0" w:color="2E5E9E"/>
            </w:tcBorders>
            <w:shd w:val="clear" w:color="auto" w:fill="EEF2F8"/>
            <w:tcMar>
              <w:top w:w="80" w:type="dxa"/>
              <w:left w:w="120" w:type="dxa"/>
              <w:bottom w:w="80" w:type="dxa"/>
              <w:right w:w="120" w:type="dxa"/>
            </w:tcMar>
          </w:tcPr>
          <w:p w14:paraId="754E1476" w14:textId="77777777" w:rsidR="0094480A" w:rsidRDefault="0094480A" w:rsidP="00FE2977">
            <w:pPr>
              <w:jc w:val="center"/>
            </w:pPr>
            <w:r>
              <w:rPr>
                <w:rFonts w:ascii="Times New Roman" w:eastAsia="Times New Roman" w:hAnsi="Times New Roman" w:cs="Times New Roman"/>
                <w:b/>
                <w:bCs/>
                <w:color w:val="000000"/>
                <w:sz w:val="20"/>
                <w:szCs w:val="20"/>
              </w:rPr>
              <w:t>99%</w:t>
            </w:r>
          </w:p>
        </w:tc>
      </w:tr>
    </w:tbl>
    <w:p w14:paraId="2A38D9A4" w14:textId="77777777" w:rsidR="0094480A" w:rsidRDefault="0094480A" w:rsidP="0094480A">
      <w:pPr>
        <w:spacing w:after="100"/>
        <w:rPr>
          <w:rFonts w:ascii="Times New Roman" w:eastAsia="Times New Roman" w:hAnsi="Times New Roman" w:cs="Times New Roman"/>
          <w:i/>
          <w:iCs/>
          <w:color w:val="000000"/>
          <w:sz w:val="22"/>
          <w:szCs w:val="22"/>
        </w:rPr>
      </w:pPr>
    </w:p>
    <w:p w14:paraId="62023142" w14:textId="77777777" w:rsidR="0094480A" w:rsidRDefault="0094480A" w:rsidP="0094480A">
      <w:pPr>
        <w:spacing w:after="100"/>
        <w:jc w:val="center"/>
      </w:pPr>
      <w:r>
        <w:rPr>
          <w:rFonts w:ascii="Times New Roman" w:eastAsia="Times New Roman" w:hAnsi="Times New Roman" w:cs="Times New Roman"/>
          <w:i/>
          <w:iCs/>
          <w:color w:val="000000"/>
          <w:sz w:val="22"/>
          <w:szCs w:val="22"/>
        </w:rPr>
        <w:t>TABLE II — Random Forest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94480A" w14:paraId="53096141" w14:textId="77777777" w:rsidTr="00FE2977">
        <w:tblPrEx>
          <w:tblCellMar>
            <w:top w:w="0" w:type="dxa"/>
            <w:bottom w:w="0" w:type="dxa"/>
          </w:tblCellMar>
        </w:tblPrEx>
        <w:trPr>
          <w:tblHeader/>
        </w:trPr>
        <w:tc>
          <w:tcPr>
            <w:tcW w:w="5000" w:type="dxa"/>
            <w:tcBorders>
              <w:top w:val="single" w:sz="4" w:space="0" w:color="2E5E9E"/>
              <w:left w:val="single" w:sz="4" w:space="0" w:color="2E5E9E"/>
              <w:bottom w:val="single" w:sz="4" w:space="0" w:color="2E5E9E"/>
              <w:right w:val="single" w:sz="4" w:space="0" w:color="2E5E9E"/>
            </w:tcBorders>
            <w:shd w:val="clear" w:color="auto" w:fill="2E5E9E"/>
            <w:tcMar>
              <w:top w:w="80" w:type="dxa"/>
              <w:left w:w="120" w:type="dxa"/>
              <w:bottom w:w="80" w:type="dxa"/>
              <w:right w:w="120" w:type="dxa"/>
            </w:tcMar>
          </w:tcPr>
          <w:p w14:paraId="0928922A" w14:textId="77777777" w:rsidR="0094480A" w:rsidRDefault="0094480A" w:rsidP="00FE2977">
            <w:pPr>
              <w:jc w:val="center"/>
            </w:pPr>
            <w:r>
              <w:rPr>
                <w:rFonts w:ascii="Times New Roman" w:eastAsia="Times New Roman" w:hAnsi="Times New Roman" w:cs="Times New Roman"/>
                <w:b/>
                <w:bCs/>
                <w:color w:val="FFFFFF"/>
                <w:sz w:val="20"/>
                <w:szCs w:val="20"/>
              </w:rPr>
              <w:t>Metric</w:t>
            </w:r>
          </w:p>
        </w:tc>
        <w:tc>
          <w:tcPr>
            <w:tcW w:w="4360" w:type="dxa"/>
            <w:tcBorders>
              <w:top w:val="single" w:sz="4" w:space="0" w:color="2E5E9E"/>
              <w:left w:val="single" w:sz="4" w:space="0" w:color="2E5E9E"/>
              <w:bottom w:val="single" w:sz="4" w:space="0" w:color="2E5E9E"/>
              <w:right w:val="single" w:sz="4" w:space="0" w:color="2E5E9E"/>
            </w:tcBorders>
            <w:shd w:val="clear" w:color="auto" w:fill="2E5E9E"/>
            <w:tcMar>
              <w:top w:w="80" w:type="dxa"/>
              <w:left w:w="120" w:type="dxa"/>
              <w:bottom w:w="80" w:type="dxa"/>
              <w:right w:w="120" w:type="dxa"/>
            </w:tcMar>
          </w:tcPr>
          <w:p w14:paraId="747BF8EC" w14:textId="77777777" w:rsidR="0094480A" w:rsidRDefault="0094480A" w:rsidP="00FE2977">
            <w:pPr>
              <w:jc w:val="center"/>
            </w:pPr>
            <w:r>
              <w:rPr>
                <w:rFonts w:ascii="Times New Roman" w:eastAsia="Times New Roman" w:hAnsi="Times New Roman" w:cs="Times New Roman"/>
                <w:b/>
                <w:bCs/>
                <w:color w:val="FFFFFF"/>
                <w:sz w:val="20"/>
                <w:szCs w:val="20"/>
              </w:rPr>
              <w:t>Value</w:t>
            </w:r>
          </w:p>
        </w:tc>
      </w:tr>
      <w:tr w:rsidR="0094480A" w14:paraId="2E4FFB37" w14:textId="77777777" w:rsidTr="00FE2977">
        <w:tblPrEx>
          <w:tblCellMar>
            <w:top w:w="0" w:type="dxa"/>
            <w:bottom w:w="0" w:type="dxa"/>
          </w:tblCellMar>
        </w:tblPrEx>
        <w:tc>
          <w:tcPr>
            <w:tcW w:w="5000" w:type="dxa"/>
            <w:tcBorders>
              <w:top w:val="single" w:sz="4" w:space="0" w:color="2E5E9E"/>
              <w:left w:val="single" w:sz="4" w:space="0" w:color="2E5E9E"/>
              <w:bottom w:val="single" w:sz="4" w:space="0" w:color="2E5E9E"/>
              <w:right w:val="single" w:sz="4" w:space="0" w:color="2E5E9E"/>
            </w:tcBorders>
            <w:shd w:val="clear" w:color="auto" w:fill="FFFFFF"/>
            <w:tcMar>
              <w:top w:w="80" w:type="dxa"/>
              <w:left w:w="120" w:type="dxa"/>
              <w:bottom w:w="80" w:type="dxa"/>
              <w:right w:w="120" w:type="dxa"/>
            </w:tcMar>
          </w:tcPr>
          <w:p w14:paraId="29E4EDA1" w14:textId="77777777" w:rsidR="0094480A" w:rsidRDefault="0094480A" w:rsidP="00FE2977">
            <w:r>
              <w:rPr>
                <w:rFonts w:ascii="Times New Roman" w:eastAsia="Times New Roman" w:hAnsi="Times New Roman" w:cs="Times New Roman"/>
                <w:color w:val="000000"/>
                <w:sz w:val="20"/>
                <w:szCs w:val="20"/>
              </w:rPr>
              <w:t>Anomaly Precision</w:t>
            </w:r>
          </w:p>
        </w:tc>
        <w:tc>
          <w:tcPr>
            <w:tcW w:w="4360" w:type="dxa"/>
            <w:tcBorders>
              <w:top w:val="single" w:sz="4" w:space="0" w:color="2E5E9E"/>
              <w:left w:val="single" w:sz="4" w:space="0" w:color="2E5E9E"/>
              <w:bottom w:val="single" w:sz="4" w:space="0" w:color="2E5E9E"/>
              <w:right w:val="single" w:sz="4" w:space="0" w:color="2E5E9E"/>
            </w:tcBorders>
            <w:shd w:val="clear" w:color="auto" w:fill="FFFFFF"/>
            <w:tcMar>
              <w:top w:w="80" w:type="dxa"/>
              <w:left w:w="120" w:type="dxa"/>
              <w:bottom w:w="80" w:type="dxa"/>
              <w:right w:w="120" w:type="dxa"/>
            </w:tcMar>
          </w:tcPr>
          <w:p w14:paraId="4E7D0C5C" w14:textId="77777777" w:rsidR="0094480A" w:rsidRDefault="0094480A" w:rsidP="00FE2977">
            <w:pPr>
              <w:jc w:val="center"/>
            </w:pPr>
            <w:r>
              <w:rPr>
                <w:rFonts w:ascii="Times New Roman" w:eastAsia="Times New Roman" w:hAnsi="Times New Roman" w:cs="Times New Roman"/>
                <w:color w:val="000000"/>
                <w:sz w:val="20"/>
                <w:szCs w:val="20"/>
              </w:rPr>
              <w:t>0.98</w:t>
            </w:r>
          </w:p>
        </w:tc>
      </w:tr>
      <w:tr w:rsidR="0094480A" w14:paraId="1349A4F6" w14:textId="77777777" w:rsidTr="00FE2977">
        <w:tblPrEx>
          <w:tblCellMar>
            <w:top w:w="0" w:type="dxa"/>
            <w:bottom w:w="0" w:type="dxa"/>
          </w:tblCellMar>
        </w:tblPrEx>
        <w:tc>
          <w:tcPr>
            <w:tcW w:w="5000" w:type="dxa"/>
            <w:tcBorders>
              <w:top w:val="single" w:sz="4" w:space="0" w:color="2E5E9E"/>
              <w:left w:val="single" w:sz="4" w:space="0" w:color="2E5E9E"/>
              <w:bottom w:val="single" w:sz="4" w:space="0" w:color="2E5E9E"/>
              <w:right w:val="single" w:sz="4" w:space="0" w:color="2E5E9E"/>
            </w:tcBorders>
            <w:shd w:val="clear" w:color="auto" w:fill="F5F5F5"/>
            <w:tcMar>
              <w:top w:w="80" w:type="dxa"/>
              <w:left w:w="120" w:type="dxa"/>
              <w:bottom w:w="80" w:type="dxa"/>
              <w:right w:w="120" w:type="dxa"/>
            </w:tcMar>
          </w:tcPr>
          <w:p w14:paraId="4D6545FF" w14:textId="77777777" w:rsidR="0094480A" w:rsidRDefault="0094480A" w:rsidP="00FE2977">
            <w:r>
              <w:rPr>
                <w:rFonts w:ascii="Times New Roman" w:eastAsia="Times New Roman" w:hAnsi="Times New Roman" w:cs="Times New Roman"/>
                <w:color w:val="000000"/>
                <w:sz w:val="20"/>
                <w:szCs w:val="20"/>
              </w:rPr>
              <w:t>Anomaly Recall</w:t>
            </w:r>
          </w:p>
        </w:tc>
        <w:tc>
          <w:tcPr>
            <w:tcW w:w="4360" w:type="dxa"/>
            <w:tcBorders>
              <w:top w:val="single" w:sz="4" w:space="0" w:color="2E5E9E"/>
              <w:left w:val="single" w:sz="4" w:space="0" w:color="2E5E9E"/>
              <w:bottom w:val="single" w:sz="4" w:space="0" w:color="2E5E9E"/>
              <w:right w:val="single" w:sz="4" w:space="0" w:color="2E5E9E"/>
            </w:tcBorders>
            <w:shd w:val="clear" w:color="auto" w:fill="F5F5F5"/>
            <w:tcMar>
              <w:top w:w="80" w:type="dxa"/>
              <w:left w:w="120" w:type="dxa"/>
              <w:bottom w:w="80" w:type="dxa"/>
              <w:right w:w="120" w:type="dxa"/>
            </w:tcMar>
          </w:tcPr>
          <w:p w14:paraId="413B1962" w14:textId="77777777" w:rsidR="0094480A" w:rsidRDefault="0094480A" w:rsidP="00FE2977">
            <w:pPr>
              <w:jc w:val="center"/>
            </w:pPr>
            <w:r>
              <w:rPr>
                <w:rFonts w:ascii="Times New Roman" w:eastAsia="Times New Roman" w:hAnsi="Times New Roman" w:cs="Times New Roman"/>
                <w:color w:val="000000"/>
                <w:sz w:val="20"/>
                <w:szCs w:val="20"/>
              </w:rPr>
              <w:t>1.00</w:t>
            </w:r>
          </w:p>
        </w:tc>
      </w:tr>
      <w:tr w:rsidR="0094480A" w14:paraId="3C77DD73" w14:textId="77777777" w:rsidTr="00FE2977">
        <w:tblPrEx>
          <w:tblCellMar>
            <w:top w:w="0" w:type="dxa"/>
            <w:bottom w:w="0" w:type="dxa"/>
          </w:tblCellMar>
        </w:tblPrEx>
        <w:tc>
          <w:tcPr>
            <w:tcW w:w="5000" w:type="dxa"/>
            <w:tcBorders>
              <w:top w:val="single" w:sz="4" w:space="0" w:color="2E5E9E"/>
              <w:left w:val="single" w:sz="4" w:space="0" w:color="2E5E9E"/>
              <w:bottom w:val="single" w:sz="4" w:space="0" w:color="2E5E9E"/>
              <w:right w:val="single" w:sz="4" w:space="0" w:color="2E5E9E"/>
            </w:tcBorders>
            <w:shd w:val="clear" w:color="auto" w:fill="FFFFFF"/>
            <w:tcMar>
              <w:top w:w="80" w:type="dxa"/>
              <w:left w:w="120" w:type="dxa"/>
              <w:bottom w:w="80" w:type="dxa"/>
              <w:right w:w="120" w:type="dxa"/>
            </w:tcMar>
          </w:tcPr>
          <w:p w14:paraId="0B4A3B7A" w14:textId="77777777" w:rsidR="0094480A" w:rsidRDefault="0094480A" w:rsidP="00FE2977">
            <w:r>
              <w:rPr>
                <w:rFonts w:ascii="Times New Roman" w:eastAsia="Times New Roman" w:hAnsi="Times New Roman" w:cs="Times New Roman"/>
                <w:color w:val="000000"/>
                <w:sz w:val="20"/>
                <w:szCs w:val="20"/>
              </w:rPr>
              <w:t>F1-Score</w:t>
            </w:r>
          </w:p>
        </w:tc>
        <w:tc>
          <w:tcPr>
            <w:tcW w:w="4360" w:type="dxa"/>
            <w:tcBorders>
              <w:top w:val="single" w:sz="4" w:space="0" w:color="2E5E9E"/>
              <w:left w:val="single" w:sz="4" w:space="0" w:color="2E5E9E"/>
              <w:bottom w:val="single" w:sz="4" w:space="0" w:color="2E5E9E"/>
              <w:right w:val="single" w:sz="4" w:space="0" w:color="2E5E9E"/>
            </w:tcBorders>
            <w:shd w:val="clear" w:color="auto" w:fill="FFFFFF"/>
            <w:tcMar>
              <w:top w:w="80" w:type="dxa"/>
              <w:left w:w="120" w:type="dxa"/>
              <w:bottom w:w="80" w:type="dxa"/>
              <w:right w:w="120" w:type="dxa"/>
            </w:tcMar>
          </w:tcPr>
          <w:p w14:paraId="39D85D16" w14:textId="77777777" w:rsidR="0094480A" w:rsidRDefault="0094480A" w:rsidP="00FE2977">
            <w:pPr>
              <w:jc w:val="center"/>
            </w:pPr>
            <w:r>
              <w:rPr>
                <w:rFonts w:ascii="Times New Roman" w:eastAsia="Times New Roman" w:hAnsi="Times New Roman" w:cs="Times New Roman"/>
                <w:color w:val="000000"/>
                <w:sz w:val="20"/>
                <w:szCs w:val="20"/>
              </w:rPr>
              <w:t>0.99</w:t>
            </w:r>
          </w:p>
        </w:tc>
      </w:tr>
      <w:tr w:rsidR="0094480A" w14:paraId="0F819EB9" w14:textId="77777777" w:rsidTr="00FE2977">
        <w:tblPrEx>
          <w:tblCellMar>
            <w:top w:w="0" w:type="dxa"/>
            <w:bottom w:w="0" w:type="dxa"/>
          </w:tblCellMar>
        </w:tblPrEx>
        <w:tc>
          <w:tcPr>
            <w:tcW w:w="5000" w:type="dxa"/>
            <w:tcBorders>
              <w:top w:val="single" w:sz="4" w:space="0" w:color="2E5E9E"/>
              <w:left w:val="single" w:sz="4" w:space="0" w:color="2E5E9E"/>
              <w:bottom w:val="single" w:sz="4" w:space="0" w:color="2E5E9E"/>
              <w:right w:val="single" w:sz="4" w:space="0" w:color="2E5E9E"/>
            </w:tcBorders>
            <w:shd w:val="clear" w:color="auto" w:fill="EEF2F8"/>
            <w:tcMar>
              <w:top w:w="80" w:type="dxa"/>
              <w:left w:w="120" w:type="dxa"/>
              <w:bottom w:w="80" w:type="dxa"/>
              <w:right w:w="120" w:type="dxa"/>
            </w:tcMar>
          </w:tcPr>
          <w:p w14:paraId="5D77510E" w14:textId="77777777" w:rsidR="0094480A" w:rsidRDefault="0094480A" w:rsidP="00FE2977">
            <w:r>
              <w:rPr>
                <w:rFonts w:ascii="Times New Roman" w:eastAsia="Times New Roman" w:hAnsi="Times New Roman" w:cs="Times New Roman"/>
                <w:b/>
                <w:bCs/>
                <w:color w:val="000000"/>
                <w:sz w:val="20"/>
                <w:szCs w:val="20"/>
              </w:rPr>
              <w:t>ROC-AUC</w:t>
            </w:r>
          </w:p>
        </w:tc>
        <w:tc>
          <w:tcPr>
            <w:tcW w:w="4360" w:type="dxa"/>
            <w:tcBorders>
              <w:top w:val="single" w:sz="4" w:space="0" w:color="2E5E9E"/>
              <w:left w:val="single" w:sz="4" w:space="0" w:color="2E5E9E"/>
              <w:bottom w:val="single" w:sz="4" w:space="0" w:color="2E5E9E"/>
              <w:right w:val="single" w:sz="4" w:space="0" w:color="2E5E9E"/>
            </w:tcBorders>
            <w:shd w:val="clear" w:color="auto" w:fill="EEF2F8"/>
            <w:tcMar>
              <w:top w:w="80" w:type="dxa"/>
              <w:left w:w="120" w:type="dxa"/>
              <w:bottom w:w="80" w:type="dxa"/>
              <w:right w:w="120" w:type="dxa"/>
            </w:tcMar>
          </w:tcPr>
          <w:p w14:paraId="456D5C7A" w14:textId="77777777" w:rsidR="0094480A" w:rsidRDefault="0094480A" w:rsidP="00FE2977">
            <w:pPr>
              <w:jc w:val="center"/>
            </w:pPr>
            <w:r>
              <w:rPr>
                <w:rFonts w:ascii="Times New Roman" w:eastAsia="Times New Roman" w:hAnsi="Times New Roman" w:cs="Times New Roman"/>
                <w:b/>
                <w:bCs/>
                <w:color w:val="000000"/>
                <w:sz w:val="20"/>
                <w:szCs w:val="20"/>
              </w:rPr>
              <w:t>1.0000</w:t>
            </w:r>
          </w:p>
        </w:tc>
      </w:tr>
    </w:tbl>
    <w:p w14:paraId="7AB2CFFB" w14:textId="77777777" w:rsidR="00B70279" w:rsidRDefault="00B70279">
      <w:pPr>
        <w:rPr>
          <w:lang w:val="tr-TR"/>
        </w:rPr>
      </w:pPr>
    </w:p>
    <w:p w14:paraId="38E1D9E7" w14:textId="77777777" w:rsidR="0094480A" w:rsidRDefault="0094480A" w:rsidP="0094480A">
      <w:pPr>
        <w:spacing w:after="100"/>
        <w:jc w:val="center"/>
      </w:pPr>
      <w:r>
        <w:rPr>
          <w:rFonts w:ascii="Times New Roman" w:eastAsia="Times New Roman" w:hAnsi="Times New Roman" w:cs="Times New Roman"/>
          <w:i/>
          <w:iCs/>
          <w:color w:val="000000"/>
          <w:sz w:val="22"/>
          <w:szCs w:val="22"/>
        </w:rPr>
        <w:t>TABLE III — Three-Tier Decision Layer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860"/>
        <w:gridCol w:w="3000"/>
      </w:tblGrid>
      <w:tr w:rsidR="0094480A" w14:paraId="0C77C5C7" w14:textId="77777777" w:rsidTr="00FE2977">
        <w:tblPrEx>
          <w:tblCellMar>
            <w:top w:w="0" w:type="dxa"/>
            <w:bottom w:w="0" w:type="dxa"/>
          </w:tblCellMar>
        </w:tblPrEx>
        <w:trPr>
          <w:tblHeader/>
        </w:trPr>
        <w:tc>
          <w:tcPr>
            <w:tcW w:w="2000" w:type="dxa"/>
            <w:tcBorders>
              <w:top w:val="single" w:sz="4" w:space="0" w:color="2E5E9E"/>
              <w:left w:val="single" w:sz="4" w:space="0" w:color="2E5E9E"/>
              <w:bottom w:val="single" w:sz="4" w:space="0" w:color="2E5E9E"/>
              <w:right w:val="single" w:sz="4" w:space="0" w:color="2E5E9E"/>
            </w:tcBorders>
            <w:shd w:val="clear" w:color="auto" w:fill="2E5E9E"/>
            <w:tcMar>
              <w:top w:w="80" w:type="dxa"/>
              <w:left w:w="120" w:type="dxa"/>
              <w:bottom w:w="80" w:type="dxa"/>
              <w:right w:w="120" w:type="dxa"/>
            </w:tcMar>
          </w:tcPr>
          <w:p w14:paraId="4B714736" w14:textId="77777777" w:rsidR="0094480A" w:rsidRDefault="0094480A" w:rsidP="00FE2977">
            <w:pPr>
              <w:jc w:val="center"/>
            </w:pPr>
            <w:r>
              <w:rPr>
                <w:rFonts w:ascii="Times New Roman" w:eastAsia="Times New Roman" w:hAnsi="Times New Roman" w:cs="Times New Roman"/>
                <w:b/>
                <w:bCs/>
                <w:color w:val="FFFFFF"/>
                <w:sz w:val="20"/>
                <w:szCs w:val="20"/>
              </w:rPr>
              <w:t>Tier</w:t>
            </w:r>
          </w:p>
        </w:tc>
        <w:tc>
          <w:tcPr>
            <w:tcW w:w="2500" w:type="dxa"/>
            <w:tcBorders>
              <w:top w:val="single" w:sz="4" w:space="0" w:color="2E5E9E"/>
              <w:left w:val="single" w:sz="4" w:space="0" w:color="2E5E9E"/>
              <w:bottom w:val="single" w:sz="4" w:space="0" w:color="2E5E9E"/>
              <w:right w:val="single" w:sz="4" w:space="0" w:color="2E5E9E"/>
            </w:tcBorders>
            <w:shd w:val="clear" w:color="auto" w:fill="2E5E9E"/>
            <w:tcMar>
              <w:top w:w="80" w:type="dxa"/>
              <w:left w:w="120" w:type="dxa"/>
              <w:bottom w:w="80" w:type="dxa"/>
              <w:right w:w="120" w:type="dxa"/>
            </w:tcMar>
          </w:tcPr>
          <w:p w14:paraId="53C5C9B8" w14:textId="77777777" w:rsidR="0094480A" w:rsidRDefault="0094480A" w:rsidP="00FE2977">
            <w:pPr>
              <w:jc w:val="center"/>
            </w:pPr>
            <w:r>
              <w:rPr>
                <w:rFonts w:ascii="Times New Roman" w:eastAsia="Times New Roman" w:hAnsi="Times New Roman" w:cs="Times New Roman"/>
                <w:b/>
                <w:bCs/>
                <w:color w:val="FFFFFF"/>
                <w:sz w:val="20"/>
                <w:szCs w:val="20"/>
              </w:rPr>
              <w:t>Threshold</w:t>
            </w:r>
          </w:p>
        </w:tc>
        <w:tc>
          <w:tcPr>
            <w:tcW w:w="1860" w:type="dxa"/>
            <w:tcBorders>
              <w:top w:val="single" w:sz="4" w:space="0" w:color="2E5E9E"/>
              <w:left w:val="single" w:sz="4" w:space="0" w:color="2E5E9E"/>
              <w:bottom w:val="single" w:sz="4" w:space="0" w:color="2E5E9E"/>
              <w:right w:val="single" w:sz="4" w:space="0" w:color="2E5E9E"/>
            </w:tcBorders>
            <w:shd w:val="clear" w:color="auto" w:fill="2E5E9E"/>
            <w:tcMar>
              <w:top w:w="80" w:type="dxa"/>
              <w:left w:w="120" w:type="dxa"/>
              <w:bottom w:w="80" w:type="dxa"/>
              <w:right w:w="120" w:type="dxa"/>
            </w:tcMar>
          </w:tcPr>
          <w:p w14:paraId="65D86F48" w14:textId="77777777" w:rsidR="0094480A" w:rsidRDefault="0094480A" w:rsidP="00FE2977">
            <w:pPr>
              <w:jc w:val="center"/>
            </w:pPr>
            <w:r>
              <w:rPr>
                <w:rFonts w:ascii="Times New Roman" w:eastAsia="Times New Roman" w:hAnsi="Times New Roman" w:cs="Times New Roman"/>
                <w:b/>
                <w:bCs/>
                <w:color w:val="FFFFFF"/>
                <w:sz w:val="20"/>
                <w:szCs w:val="20"/>
              </w:rPr>
              <w:t>Count</w:t>
            </w:r>
          </w:p>
        </w:tc>
        <w:tc>
          <w:tcPr>
            <w:tcW w:w="3000" w:type="dxa"/>
            <w:tcBorders>
              <w:top w:val="single" w:sz="4" w:space="0" w:color="2E5E9E"/>
              <w:left w:val="single" w:sz="4" w:space="0" w:color="2E5E9E"/>
              <w:bottom w:val="single" w:sz="4" w:space="0" w:color="2E5E9E"/>
              <w:right w:val="single" w:sz="4" w:space="0" w:color="2E5E9E"/>
            </w:tcBorders>
            <w:shd w:val="clear" w:color="auto" w:fill="2E5E9E"/>
            <w:tcMar>
              <w:top w:w="80" w:type="dxa"/>
              <w:left w:w="120" w:type="dxa"/>
              <w:bottom w:w="80" w:type="dxa"/>
              <w:right w:w="120" w:type="dxa"/>
            </w:tcMar>
          </w:tcPr>
          <w:p w14:paraId="3B321C63" w14:textId="77777777" w:rsidR="0094480A" w:rsidRDefault="0094480A" w:rsidP="00FE2977">
            <w:pPr>
              <w:jc w:val="center"/>
            </w:pPr>
            <w:r>
              <w:rPr>
                <w:rFonts w:ascii="Times New Roman" w:eastAsia="Times New Roman" w:hAnsi="Times New Roman" w:cs="Times New Roman"/>
                <w:b/>
                <w:bCs/>
                <w:color w:val="FFFFFF"/>
                <w:sz w:val="20"/>
                <w:szCs w:val="20"/>
              </w:rPr>
              <w:t>Action</w:t>
            </w:r>
          </w:p>
        </w:tc>
      </w:tr>
      <w:tr w:rsidR="0094480A" w14:paraId="7C50E438" w14:textId="77777777" w:rsidTr="00FE2977">
        <w:tblPrEx>
          <w:tblCellMar>
            <w:top w:w="0" w:type="dxa"/>
            <w:bottom w:w="0" w:type="dxa"/>
          </w:tblCellMar>
        </w:tblPrEx>
        <w:tc>
          <w:tcPr>
            <w:tcW w:w="2000" w:type="dxa"/>
            <w:tcBorders>
              <w:top w:val="single" w:sz="4" w:space="0" w:color="2E5E9E"/>
              <w:left w:val="single" w:sz="4" w:space="0" w:color="2E5E9E"/>
              <w:bottom w:val="single" w:sz="4" w:space="0" w:color="2E5E9E"/>
              <w:right w:val="single" w:sz="4" w:space="0" w:color="2E5E9E"/>
            </w:tcBorders>
            <w:shd w:val="clear" w:color="auto" w:fill="F0FFF0"/>
            <w:tcMar>
              <w:top w:w="80" w:type="dxa"/>
              <w:left w:w="120" w:type="dxa"/>
              <w:bottom w:w="80" w:type="dxa"/>
              <w:right w:w="120" w:type="dxa"/>
            </w:tcMar>
          </w:tcPr>
          <w:p w14:paraId="69EB2587" w14:textId="77777777" w:rsidR="0094480A" w:rsidRDefault="0094480A" w:rsidP="00FE2977">
            <w:r>
              <w:rPr>
                <w:rFonts w:ascii="Times New Roman" w:eastAsia="Times New Roman" w:hAnsi="Times New Roman" w:cs="Times New Roman"/>
                <w:color w:val="000000"/>
                <w:sz w:val="20"/>
                <w:szCs w:val="20"/>
              </w:rPr>
              <w:t xml:space="preserve"> Normal</w:t>
            </w:r>
          </w:p>
        </w:tc>
        <w:tc>
          <w:tcPr>
            <w:tcW w:w="2500" w:type="dxa"/>
            <w:tcBorders>
              <w:top w:val="single" w:sz="4" w:space="0" w:color="2E5E9E"/>
              <w:left w:val="single" w:sz="4" w:space="0" w:color="2E5E9E"/>
              <w:bottom w:val="single" w:sz="4" w:space="0" w:color="2E5E9E"/>
              <w:right w:val="single" w:sz="4" w:space="0" w:color="2E5E9E"/>
            </w:tcBorders>
            <w:shd w:val="clear" w:color="auto" w:fill="F0FFF0"/>
            <w:tcMar>
              <w:top w:w="80" w:type="dxa"/>
              <w:left w:w="120" w:type="dxa"/>
              <w:bottom w:w="80" w:type="dxa"/>
              <w:right w:w="120" w:type="dxa"/>
            </w:tcMar>
          </w:tcPr>
          <w:p w14:paraId="7D0B9BC2" w14:textId="77777777" w:rsidR="0094480A" w:rsidRDefault="0094480A" w:rsidP="00FE2977">
            <w:pPr>
              <w:jc w:val="center"/>
            </w:pPr>
            <w:r>
              <w:rPr>
                <w:rFonts w:ascii="Times New Roman" w:eastAsia="Times New Roman" w:hAnsi="Times New Roman" w:cs="Times New Roman"/>
                <w:color w:val="000000"/>
                <w:sz w:val="20"/>
                <w:szCs w:val="20"/>
              </w:rPr>
              <w:t>&lt; 75th pct (0.5010)</w:t>
            </w:r>
          </w:p>
        </w:tc>
        <w:tc>
          <w:tcPr>
            <w:tcW w:w="1860" w:type="dxa"/>
            <w:tcBorders>
              <w:top w:val="single" w:sz="4" w:space="0" w:color="2E5E9E"/>
              <w:left w:val="single" w:sz="4" w:space="0" w:color="2E5E9E"/>
              <w:bottom w:val="single" w:sz="4" w:space="0" w:color="2E5E9E"/>
              <w:right w:val="single" w:sz="4" w:space="0" w:color="2E5E9E"/>
            </w:tcBorders>
            <w:shd w:val="clear" w:color="auto" w:fill="F0FFF0"/>
            <w:tcMar>
              <w:top w:w="80" w:type="dxa"/>
              <w:left w:w="120" w:type="dxa"/>
              <w:bottom w:w="80" w:type="dxa"/>
              <w:right w:w="120" w:type="dxa"/>
            </w:tcMar>
          </w:tcPr>
          <w:p w14:paraId="41635B03" w14:textId="77777777" w:rsidR="0094480A" w:rsidRDefault="0094480A" w:rsidP="00FE2977">
            <w:pPr>
              <w:jc w:val="center"/>
            </w:pPr>
            <w:r>
              <w:rPr>
                <w:rFonts w:ascii="Times New Roman" w:eastAsia="Times New Roman" w:hAnsi="Times New Roman" w:cs="Times New Roman"/>
                <w:color w:val="000000"/>
                <w:sz w:val="20"/>
                <w:szCs w:val="20"/>
              </w:rPr>
              <w:t>11,250</w:t>
            </w:r>
          </w:p>
        </w:tc>
        <w:tc>
          <w:tcPr>
            <w:tcW w:w="3000" w:type="dxa"/>
            <w:tcBorders>
              <w:top w:val="single" w:sz="4" w:space="0" w:color="2E5E9E"/>
              <w:left w:val="single" w:sz="4" w:space="0" w:color="2E5E9E"/>
              <w:bottom w:val="single" w:sz="4" w:space="0" w:color="2E5E9E"/>
              <w:right w:val="single" w:sz="4" w:space="0" w:color="2E5E9E"/>
            </w:tcBorders>
            <w:shd w:val="clear" w:color="auto" w:fill="F0FFF0"/>
            <w:tcMar>
              <w:top w:w="80" w:type="dxa"/>
              <w:left w:w="120" w:type="dxa"/>
              <w:bottom w:w="80" w:type="dxa"/>
              <w:right w:w="120" w:type="dxa"/>
            </w:tcMar>
          </w:tcPr>
          <w:p w14:paraId="1BA74D65" w14:textId="77777777" w:rsidR="0094480A" w:rsidRDefault="0094480A" w:rsidP="00FE2977">
            <w:r>
              <w:rPr>
                <w:rFonts w:ascii="Times New Roman" w:eastAsia="Times New Roman" w:hAnsi="Times New Roman" w:cs="Times New Roman"/>
                <w:color w:val="000000"/>
                <w:sz w:val="20"/>
                <w:szCs w:val="20"/>
              </w:rPr>
              <w:t>Pass through</w:t>
            </w:r>
          </w:p>
        </w:tc>
      </w:tr>
      <w:tr w:rsidR="0094480A" w14:paraId="021514BB" w14:textId="77777777" w:rsidTr="00FE2977">
        <w:tblPrEx>
          <w:tblCellMar>
            <w:top w:w="0" w:type="dxa"/>
            <w:bottom w:w="0" w:type="dxa"/>
          </w:tblCellMar>
        </w:tblPrEx>
        <w:tc>
          <w:tcPr>
            <w:tcW w:w="2000" w:type="dxa"/>
            <w:tcBorders>
              <w:top w:val="single" w:sz="4" w:space="0" w:color="2E5E9E"/>
              <w:left w:val="single" w:sz="4" w:space="0" w:color="2E5E9E"/>
              <w:bottom w:val="single" w:sz="4" w:space="0" w:color="2E5E9E"/>
              <w:right w:val="single" w:sz="4" w:space="0" w:color="2E5E9E"/>
            </w:tcBorders>
            <w:shd w:val="clear" w:color="auto" w:fill="FFFBF0"/>
            <w:tcMar>
              <w:top w:w="80" w:type="dxa"/>
              <w:left w:w="120" w:type="dxa"/>
              <w:bottom w:w="80" w:type="dxa"/>
              <w:right w:w="120" w:type="dxa"/>
            </w:tcMar>
          </w:tcPr>
          <w:p w14:paraId="465031F4" w14:textId="77777777" w:rsidR="0094480A" w:rsidRDefault="0094480A" w:rsidP="00FE2977">
            <w:r>
              <w:rPr>
                <w:rFonts w:ascii="Times New Roman" w:eastAsia="Times New Roman" w:hAnsi="Times New Roman" w:cs="Times New Roman"/>
                <w:color w:val="000000"/>
                <w:sz w:val="20"/>
                <w:szCs w:val="20"/>
              </w:rPr>
              <w:t xml:space="preserve"> Watch</w:t>
            </w:r>
          </w:p>
        </w:tc>
        <w:tc>
          <w:tcPr>
            <w:tcW w:w="2500" w:type="dxa"/>
            <w:tcBorders>
              <w:top w:val="single" w:sz="4" w:space="0" w:color="2E5E9E"/>
              <w:left w:val="single" w:sz="4" w:space="0" w:color="2E5E9E"/>
              <w:bottom w:val="single" w:sz="4" w:space="0" w:color="2E5E9E"/>
              <w:right w:val="single" w:sz="4" w:space="0" w:color="2E5E9E"/>
            </w:tcBorders>
            <w:shd w:val="clear" w:color="auto" w:fill="FFFBF0"/>
            <w:tcMar>
              <w:top w:w="80" w:type="dxa"/>
              <w:left w:w="120" w:type="dxa"/>
              <w:bottom w:w="80" w:type="dxa"/>
              <w:right w:w="120" w:type="dxa"/>
            </w:tcMar>
          </w:tcPr>
          <w:p w14:paraId="0D992FFD" w14:textId="77777777" w:rsidR="0094480A" w:rsidRDefault="0094480A" w:rsidP="00FE2977">
            <w:pPr>
              <w:jc w:val="center"/>
            </w:pPr>
            <w:r>
              <w:rPr>
                <w:rFonts w:ascii="Times New Roman" w:eastAsia="Times New Roman" w:hAnsi="Times New Roman" w:cs="Times New Roman"/>
                <w:color w:val="000000"/>
                <w:sz w:val="20"/>
                <w:szCs w:val="20"/>
              </w:rPr>
              <w:t>75th–95th pct</w:t>
            </w:r>
          </w:p>
        </w:tc>
        <w:tc>
          <w:tcPr>
            <w:tcW w:w="1860" w:type="dxa"/>
            <w:tcBorders>
              <w:top w:val="single" w:sz="4" w:space="0" w:color="2E5E9E"/>
              <w:left w:val="single" w:sz="4" w:space="0" w:color="2E5E9E"/>
              <w:bottom w:val="single" w:sz="4" w:space="0" w:color="2E5E9E"/>
              <w:right w:val="single" w:sz="4" w:space="0" w:color="2E5E9E"/>
            </w:tcBorders>
            <w:shd w:val="clear" w:color="auto" w:fill="FFFBF0"/>
            <w:tcMar>
              <w:top w:w="80" w:type="dxa"/>
              <w:left w:w="120" w:type="dxa"/>
              <w:bottom w:w="80" w:type="dxa"/>
              <w:right w:w="120" w:type="dxa"/>
            </w:tcMar>
          </w:tcPr>
          <w:p w14:paraId="48D2C84A" w14:textId="77777777" w:rsidR="0094480A" w:rsidRDefault="0094480A" w:rsidP="00FE2977">
            <w:pPr>
              <w:jc w:val="center"/>
            </w:pPr>
            <w:r>
              <w:rPr>
                <w:rFonts w:ascii="Times New Roman" w:eastAsia="Times New Roman" w:hAnsi="Times New Roman" w:cs="Times New Roman"/>
                <w:color w:val="000000"/>
                <w:sz w:val="20"/>
                <w:szCs w:val="20"/>
              </w:rPr>
              <w:t>3,000</w:t>
            </w:r>
          </w:p>
        </w:tc>
        <w:tc>
          <w:tcPr>
            <w:tcW w:w="3000" w:type="dxa"/>
            <w:tcBorders>
              <w:top w:val="single" w:sz="4" w:space="0" w:color="2E5E9E"/>
              <w:left w:val="single" w:sz="4" w:space="0" w:color="2E5E9E"/>
              <w:bottom w:val="single" w:sz="4" w:space="0" w:color="2E5E9E"/>
              <w:right w:val="single" w:sz="4" w:space="0" w:color="2E5E9E"/>
            </w:tcBorders>
            <w:shd w:val="clear" w:color="auto" w:fill="FFFBF0"/>
            <w:tcMar>
              <w:top w:w="80" w:type="dxa"/>
              <w:left w:w="120" w:type="dxa"/>
              <w:bottom w:w="80" w:type="dxa"/>
              <w:right w:w="120" w:type="dxa"/>
            </w:tcMar>
          </w:tcPr>
          <w:p w14:paraId="595A8E61" w14:textId="77777777" w:rsidR="0094480A" w:rsidRDefault="0094480A" w:rsidP="00FE2977">
            <w:r>
              <w:rPr>
                <w:rFonts w:ascii="Times New Roman" w:eastAsia="Times New Roman" w:hAnsi="Times New Roman" w:cs="Times New Roman"/>
                <w:color w:val="000000"/>
                <w:sz w:val="20"/>
                <w:szCs w:val="20"/>
              </w:rPr>
              <w:t>Manual review</w:t>
            </w:r>
          </w:p>
        </w:tc>
      </w:tr>
      <w:tr w:rsidR="0094480A" w14:paraId="3CDA3F8A" w14:textId="77777777" w:rsidTr="00FE2977">
        <w:tblPrEx>
          <w:tblCellMar>
            <w:top w:w="0" w:type="dxa"/>
            <w:bottom w:w="0" w:type="dxa"/>
          </w:tblCellMar>
        </w:tblPrEx>
        <w:tc>
          <w:tcPr>
            <w:tcW w:w="2000" w:type="dxa"/>
            <w:tcBorders>
              <w:top w:val="single" w:sz="4" w:space="0" w:color="2E5E9E"/>
              <w:left w:val="single" w:sz="4" w:space="0" w:color="2E5E9E"/>
              <w:bottom w:val="single" w:sz="4" w:space="0" w:color="2E5E9E"/>
              <w:right w:val="single" w:sz="4" w:space="0" w:color="2E5E9E"/>
            </w:tcBorders>
            <w:shd w:val="clear" w:color="auto" w:fill="FFF5F5"/>
            <w:tcMar>
              <w:top w:w="80" w:type="dxa"/>
              <w:left w:w="120" w:type="dxa"/>
              <w:bottom w:w="80" w:type="dxa"/>
              <w:right w:w="120" w:type="dxa"/>
            </w:tcMar>
          </w:tcPr>
          <w:p w14:paraId="7DC8F636" w14:textId="77777777" w:rsidR="0094480A" w:rsidRDefault="0094480A" w:rsidP="00FE2977">
            <w:r>
              <w:rPr>
                <w:rFonts w:ascii="Times New Roman" w:eastAsia="Times New Roman" w:hAnsi="Times New Roman" w:cs="Times New Roman"/>
                <w:color w:val="000000"/>
                <w:sz w:val="20"/>
                <w:szCs w:val="20"/>
              </w:rPr>
              <w:t>Alert</w:t>
            </w:r>
          </w:p>
        </w:tc>
        <w:tc>
          <w:tcPr>
            <w:tcW w:w="2500" w:type="dxa"/>
            <w:tcBorders>
              <w:top w:val="single" w:sz="4" w:space="0" w:color="2E5E9E"/>
              <w:left w:val="single" w:sz="4" w:space="0" w:color="2E5E9E"/>
              <w:bottom w:val="single" w:sz="4" w:space="0" w:color="2E5E9E"/>
              <w:right w:val="single" w:sz="4" w:space="0" w:color="2E5E9E"/>
            </w:tcBorders>
            <w:shd w:val="clear" w:color="auto" w:fill="FFF5F5"/>
            <w:tcMar>
              <w:top w:w="80" w:type="dxa"/>
              <w:left w:w="120" w:type="dxa"/>
              <w:bottom w:w="80" w:type="dxa"/>
              <w:right w:w="120" w:type="dxa"/>
            </w:tcMar>
          </w:tcPr>
          <w:p w14:paraId="219A833C" w14:textId="77777777" w:rsidR="0094480A" w:rsidRDefault="0094480A" w:rsidP="00FE2977">
            <w:pPr>
              <w:jc w:val="center"/>
            </w:pPr>
            <w:r>
              <w:rPr>
                <w:rFonts w:ascii="Times New Roman" w:eastAsia="Times New Roman" w:hAnsi="Times New Roman" w:cs="Times New Roman"/>
                <w:color w:val="000000"/>
                <w:sz w:val="20"/>
                <w:szCs w:val="20"/>
              </w:rPr>
              <w:t>&gt; 95th pct (0.5604)</w:t>
            </w:r>
          </w:p>
        </w:tc>
        <w:tc>
          <w:tcPr>
            <w:tcW w:w="1860" w:type="dxa"/>
            <w:tcBorders>
              <w:top w:val="single" w:sz="4" w:space="0" w:color="2E5E9E"/>
              <w:left w:val="single" w:sz="4" w:space="0" w:color="2E5E9E"/>
              <w:bottom w:val="single" w:sz="4" w:space="0" w:color="2E5E9E"/>
              <w:right w:val="single" w:sz="4" w:space="0" w:color="2E5E9E"/>
            </w:tcBorders>
            <w:shd w:val="clear" w:color="auto" w:fill="FFF5F5"/>
            <w:tcMar>
              <w:top w:w="80" w:type="dxa"/>
              <w:left w:w="120" w:type="dxa"/>
              <w:bottom w:w="80" w:type="dxa"/>
              <w:right w:w="120" w:type="dxa"/>
            </w:tcMar>
          </w:tcPr>
          <w:p w14:paraId="3FA96ABD" w14:textId="77777777" w:rsidR="0094480A" w:rsidRDefault="0094480A" w:rsidP="00FE2977">
            <w:pPr>
              <w:jc w:val="center"/>
            </w:pPr>
            <w:r>
              <w:rPr>
                <w:rFonts w:ascii="Times New Roman" w:eastAsia="Times New Roman" w:hAnsi="Times New Roman" w:cs="Times New Roman"/>
                <w:color w:val="000000"/>
                <w:sz w:val="20"/>
                <w:szCs w:val="20"/>
              </w:rPr>
              <w:t>750</w:t>
            </w:r>
          </w:p>
        </w:tc>
        <w:tc>
          <w:tcPr>
            <w:tcW w:w="3000" w:type="dxa"/>
            <w:tcBorders>
              <w:top w:val="single" w:sz="4" w:space="0" w:color="2E5E9E"/>
              <w:left w:val="single" w:sz="4" w:space="0" w:color="2E5E9E"/>
              <w:bottom w:val="single" w:sz="4" w:space="0" w:color="2E5E9E"/>
              <w:right w:val="single" w:sz="4" w:space="0" w:color="2E5E9E"/>
            </w:tcBorders>
            <w:shd w:val="clear" w:color="auto" w:fill="FFF5F5"/>
            <w:tcMar>
              <w:top w:w="80" w:type="dxa"/>
              <w:left w:w="120" w:type="dxa"/>
              <w:bottom w:w="80" w:type="dxa"/>
              <w:right w:w="120" w:type="dxa"/>
            </w:tcMar>
          </w:tcPr>
          <w:p w14:paraId="6170BB9C" w14:textId="77777777" w:rsidR="0094480A" w:rsidRDefault="0094480A" w:rsidP="00FE2977">
            <w:r>
              <w:rPr>
                <w:rFonts w:ascii="Times New Roman" w:eastAsia="Times New Roman" w:hAnsi="Times New Roman" w:cs="Times New Roman"/>
                <w:color w:val="000000"/>
                <w:sz w:val="20"/>
                <w:szCs w:val="20"/>
              </w:rPr>
              <w:t>Block + compliance notification</w:t>
            </w:r>
          </w:p>
        </w:tc>
      </w:tr>
    </w:tbl>
    <w:p w14:paraId="1BC4723E" w14:textId="77777777" w:rsidR="0094480A" w:rsidRDefault="0094480A">
      <w:pPr>
        <w:rPr>
          <w:lang w:val="tr-TR"/>
        </w:rPr>
      </w:pPr>
    </w:p>
    <w:p w14:paraId="5A5F7795" w14:textId="77777777" w:rsidR="0094480A" w:rsidRDefault="0094480A" w:rsidP="0094480A">
      <w:pPr>
        <w:pStyle w:val="ListParagraph"/>
        <w:ind w:left="1080"/>
        <w:rPr>
          <w:lang w:val="tr-TR"/>
        </w:rPr>
      </w:pPr>
    </w:p>
    <w:p w14:paraId="1B7B7EC6" w14:textId="77777777" w:rsidR="0094480A" w:rsidRDefault="0094480A" w:rsidP="0094480A">
      <w:pPr>
        <w:pStyle w:val="ListParagraph"/>
        <w:ind w:left="1080"/>
        <w:rPr>
          <w:lang w:val="tr-TR"/>
        </w:rPr>
      </w:pPr>
    </w:p>
    <w:p w14:paraId="6BBB3E21" w14:textId="77777777" w:rsidR="0094480A" w:rsidRDefault="0094480A" w:rsidP="0094480A">
      <w:pPr>
        <w:pStyle w:val="ListParagraph"/>
        <w:ind w:left="1080"/>
        <w:rPr>
          <w:lang w:val="tr-TR"/>
        </w:rPr>
      </w:pPr>
    </w:p>
    <w:p w14:paraId="094B6DC7" w14:textId="77777777" w:rsidR="0094480A" w:rsidRDefault="0094480A" w:rsidP="0094480A">
      <w:pPr>
        <w:pStyle w:val="ListParagraph"/>
        <w:ind w:left="1080"/>
        <w:rPr>
          <w:lang w:val="tr-TR"/>
        </w:rPr>
      </w:pPr>
    </w:p>
    <w:p w14:paraId="2DBF3373" w14:textId="77777777" w:rsidR="0094480A" w:rsidRDefault="0094480A" w:rsidP="0094480A">
      <w:pPr>
        <w:pStyle w:val="ListParagraph"/>
        <w:numPr>
          <w:ilvl w:val="0"/>
          <w:numId w:val="1"/>
        </w:numPr>
        <w:rPr>
          <w:lang w:val="tr-TR"/>
        </w:rPr>
      </w:pPr>
      <w:r>
        <w:rPr>
          <w:lang w:val="tr-TR"/>
        </w:rPr>
        <w:lastRenderedPageBreak/>
        <w:t>CONCLUSION</w:t>
      </w:r>
    </w:p>
    <w:p w14:paraId="1B25998C" w14:textId="77777777" w:rsidR="0094480A" w:rsidRPr="0094480A" w:rsidRDefault="0094480A" w:rsidP="0094480A">
      <w:pPr>
        <w:ind w:left="1080"/>
        <w:rPr>
          <w:lang w:val="tr-TR"/>
        </w:rPr>
      </w:pPr>
      <w:proofErr w:type="spellStart"/>
      <w:r>
        <w:rPr>
          <w:lang w:val="tr-TR"/>
        </w:rPr>
        <w:t>This</w:t>
      </w:r>
      <w:proofErr w:type="spellEnd"/>
      <w:r>
        <w:rPr>
          <w:lang w:val="tr-TR"/>
        </w:rPr>
        <w:t xml:space="preserve"> </w:t>
      </w:r>
      <w:proofErr w:type="spellStart"/>
      <w:r>
        <w:rPr>
          <w:lang w:val="tr-TR"/>
        </w:rPr>
        <w:t>paper</w:t>
      </w:r>
      <w:proofErr w:type="spellEnd"/>
      <w:r>
        <w:rPr>
          <w:lang w:val="tr-TR"/>
        </w:rPr>
        <w:t xml:space="preserve"> </w:t>
      </w:r>
      <w:proofErr w:type="spellStart"/>
      <w:r>
        <w:rPr>
          <w:lang w:val="tr-TR"/>
        </w:rPr>
        <w:t>presented</w:t>
      </w:r>
      <w:proofErr w:type="spellEnd"/>
      <w:r>
        <w:rPr>
          <w:lang w:val="tr-TR"/>
        </w:rPr>
        <w:t xml:space="preserve"> an </w:t>
      </w:r>
      <w:proofErr w:type="spellStart"/>
      <w:r>
        <w:rPr>
          <w:lang w:val="tr-TR"/>
        </w:rPr>
        <w:t>unsupervised</w:t>
      </w:r>
      <w:proofErr w:type="spellEnd"/>
      <w:r>
        <w:rPr>
          <w:lang w:val="tr-TR"/>
        </w:rPr>
        <w:t xml:space="preserve"> </w:t>
      </w:r>
      <w:proofErr w:type="spellStart"/>
      <w:r>
        <w:rPr>
          <w:lang w:val="tr-TR"/>
        </w:rPr>
        <w:t>anomaly</w:t>
      </w:r>
      <w:proofErr w:type="spellEnd"/>
      <w:r>
        <w:rPr>
          <w:lang w:val="tr-TR"/>
        </w:rPr>
        <w:t xml:space="preserve"> d </w:t>
      </w:r>
      <w:proofErr w:type="spellStart"/>
      <w:r>
        <w:rPr>
          <w:lang w:val="tr-TR"/>
        </w:rPr>
        <w:t>etection</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deciison</w:t>
      </w:r>
      <w:proofErr w:type="spellEnd"/>
      <w:r>
        <w:rPr>
          <w:lang w:val="tr-TR"/>
        </w:rPr>
        <w:t xml:space="preserve"> </w:t>
      </w:r>
      <w:proofErr w:type="spellStart"/>
      <w:r>
        <w:rPr>
          <w:lang w:val="tr-TR"/>
        </w:rPr>
        <w:t>support</w:t>
      </w:r>
      <w:proofErr w:type="spellEnd"/>
      <w:r>
        <w:rPr>
          <w:lang w:val="tr-TR"/>
        </w:rPr>
        <w:t xml:space="preserve"> </w:t>
      </w:r>
      <w:proofErr w:type="spellStart"/>
      <w:r>
        <w:rPr>
          <w:lang w:val="tr-TR"/>
        </w:rPr>
        <w:t>system</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digital</w:t>
      </w:r>
      <w:proofErr w:type="spellEnd"/>
      <w:r>
        <w:rPr>
          <w:lang w:val="tr-TR"/>
        </w:rPr>
        <w:t xml:space="preserve"> </w:t>
      </w:r>
      <w:proofErr w:type="spellStart"/>
      <w:r>
        <w:rPr>
          <w:lang w:val="tr-TR"/>
        </w:rPr>
        <w:t>gold</w:t>
      </w:r>
      <w:proofErr w:type="spellEnd"/>
      <w:r>
        <w:rPr>
          <w:lang w:val="tr-TR"/>
        </w:rPr>
        <w:t xml:space="preserve"> </w:t>
      </w:r>
      <w:proofErr w:type="spellStart"/>
      <w:r>
        <w:rPr>
          <w:lang w:val="tr-TR"/>
        </w:rPr>
        <w:t>trading</w:t>
      </w:r>
      <w:proofErr w:type="spellEnd"/>
      <w:r>
        <w:rPr>
          <w:lang w:val="tr-TR"/>
        </w:rPr>
        <w:t xml:space="preserve"> </w:t>
      </w:r>
      <w:proofErr w:type="spellStart"/>
      <w:r>
        <w:rPr>
          <w:lang w:val="tr-TR"/>
        </w:rPr>
        <w:t>platforms</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three</w:t>
      </w:r>
      <w:proofErr w:type="spellEnd"/>
      <w:r>
        <w:rPr>
          <w:lang w:val="tr-TR"/>
        </w:rPr>
        <w:t xml:space="preserve"> </w:t>
      </w:r>
      <w:proofErr w:type="spellStart"/>
      <w:r>
        <w:rPr>
          <w:lang w:val="tr-TR"/>
        </w:rPr>
        <w:t>tier</w:t>
      </w:r>
      <w:proofErr w:type="spellEnd"/>
      <w:r>
        <w:rPr>
          <w:lang w:val="tr-TR"/>
        </w:rPr>
        <w:t xml:space="preserve"> </w:t>
      </w:r>
      <w:proofErr w:type="spellStart"/>
      <w:r>
        <w:rPr>
          <w:lang w:val="tr-TR"/>
        </w:rPr>
        <w:t>decision</w:t>
      </w:r>
      <w:proofErr w:type="spellEnd"/>
      <w:r>
        <w:rPr>
          <w:lang w:val="tr-TR"/>
        </w:rPr>
        <w:t xml:space="preserve"> </w:t>
      </w:r>
      <w:proofErr w:type="spellStart"/>
      <w:r>
        <w:rPr>
          <w:lang w:val="tr-TR"/>
        </w:rPr>
        <w:t>layer</w:t>
      </w:r>
      <w:proofErr w:type="spellEnd"/>
      <w:r>
        <w:rPr>
          <w:lang w:val="tr-TR"/>
        </w:rPr>
        <w:t xml:space="preserve"> </w:t>
      </w:r>
      <w:proofErr w:type="spellStart"/>
      <w:r>
        <w:rPr>
          <w:lang w:val="tr-TR"/>
        </w:rPr>
        <w:t>brdiges</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gap</w:t>
      </w:r>
      <w:proofErr w:type="spellEnd"/>
      <w:r>
        <w:rPr>
          <w:lang w:val="tr-TR"/>
        </w:rPr>
        <w:t xml:space="preserve"> </w:t>
      </w:r>
      <w:proofErr w:type="spellStart"/>
      <w:r>
        <w:rPr>
          <w:lang w:val="tr-TR"/>
        </w:rPr>
        <w:t>between</w:t>
      </w:r>
      <w:proofErr w:type="spellEnd"/>
      <w:r>
        <w:rPr>
          <w:lang w:val="tr-TR"/>
        </w:rPr>
        <w:t xml:space="preserve"> </w:t>
      </w:r>
      <w:proofErr w:type="spellStart"/>
      <w:r>
        <w:rPr>
          <w:lang w:val="tr-TR"/>
        </w:rPr>
        <w:t>raw</w:t>
      </w:r>
      <w:proofErr w:type="spellEnd"/>
      <w:r>
        <w:rPr>
          <w:lang w:val="tr-TR"/>
        </w:rPr>
        <w:t xml:space="preserve"> model </w:t>
      </w:r>
      <w:proofErr w:type="spellStart"/>
      <w:r>
        <w:rPr>
          <w:lang w:val="tr-TR"/>
        </w:rPr>
        <w:t>outputs</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operational</w:t>
      </w:r>
      <w:proofErr w:type="spellEnd"/>
      <w:r>
        <w:rPr>
          <w:lang w:val="tr-TR"/>
        </w:rPr>
        <w:t xml:space="preserve"> </w:t>
      </w:r>
      <w:proofErr w:type="spellStart"/>
      <w:r>
        <w:rPr>
          <w:lang w:val="tr-TR"/>
        </w:rPr>
        <w:t>compliance</w:t>
      </w:r>
      <w:proofErr w:type="spellEnd"/>
      <w:r>
        <w:rPr>
          <w:lang w:val="tr-TR"/>
        </w:rPr>
        <w:t xml:space="preserve"> </w:t>
      </w:r>
      <w:proofErr w:type="spellStart"/>
      <w:r>
        <w:rPr>
          <w:lang w:val="tr-TR"/>
        </w:rPr>
        <w:t>workflows</w:t>
      </w:r>
      <w:proofErr w:type="spellEnd"/>
      <w:r>
        <w:rPr>
          <w:lang w:val="tr-TR"/>
        </w:rPr>
        <w:t xml:space="preserve">, </w:t>
      </w:r>
      <w:proofErr w:type="spellStart"/>
      <w:r>
        <w:rPr>
          <w:lang w:val="tr-TR"/>
        </w:rPr>
        <w:t>making</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system</w:t>
      </w:r>
      <w:proofErr w:type="spellEnd"/>
      <w:r>
        <w:rPr>
          <w:lang w:val="tr-TR"/>
        </w:rPr>
        <w:t xml:space="preserve"> </w:t>
      </w:r>
      <w:proofErr w:type="spellStart"/>
      <w:r>
        <w:rPr>
          <w:lang w:val="tr-TR"/>
        </w:rPr>
        <w:t>directly</w:t>
      </w:r>
      <w:proofErr w:type="spellEnd"/>
      <w:r>
        <w:rPr>
          <w:lang w:val="tr-TR"/>
        </w:rPr>
        <w:t xml:space="preserve"> </w:t>
      </w:r>
      <w:proofErr w:type="spellStart"/>
      <w:r>
        <w:rPr>
          <w:lang w:val="tr-TR"/>
        </w:rPr>
        <w:t>integrable</w:t>
      </w:r>
      <w:proofErr w:type="spellEnd"/>
      <w:r>
        <w:rPr>
          <w:lang w:val="tr-TR"/>
        </w:rPr>
        <w:t xml:space="preserve"> </w:t>
      </w:r>
      <w:proofErr w:type="spellStart"/>
      <w:r>
        <w:rPr>
          <w:lang w:val="tr-TR"/>
        </w:rPr>
        <w:t>into</w:t>
      </w:r>
      <w:proofErr w:type="spellEnd"/>
      <w:r>
        <w:rPr>
          <w:lang w:val="tr-TR"/>
        </w:rPr>
        <w:t xml:space="preserve"> </w:t>
      </w:r>
      <w:proofErr w:type="spellStart"/>
      <w:r>
        <w:rPr>
          <w:lang w:val="tr-TR"/>
        </w:rPr>
        <w:t>production</w:t>
      </w:r>
      <w:proofErr w:type="spellEnd"/>
      <w:r>
        <w:rPr>
          <w:lang w:val="tr-TR"/>
        </w:rPr>
        <w:t xml:space="preserve"> </w:t>
      </w:r>
      <w:proofErr w:type="spellStart"/>
      <w:r>
        <w:rPr>
          <w:lang w:val="tr-TR"/>
        </w:rPr>
        <w:t>environments</w:t>
      </w:r>
      <w:proofErr w:type="spellEnd"/>
      <w:r>
        <w:rPr>
          <w:lang w:val="tr-TR"/>
        </w:rPr>
        <w:t xml:space="preserve">. </w:t>
      </w:r>
    </w:p>
    <w:sectPr w:rsidR="0094480A" w:rsidRPr="009448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C6631"/>
    <w:multiLevelType w:val="hybridMultilevel"/>
    <w:tmpl w:val="6926525E"/>
    <w:lvl w:ilvl="0" w:tplc="63F2D7C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1010057"/>
    <w:multiLevelType w:val="multilevel"/>
    <w:tmpl w:val="4B5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D26AB0"/>
    <w:multiLevelType w:val="hybridMultilevel"/>
    <w:tmpl w:val="336624DE"/>
    <w:lvl w:ilvl="0" w:tplc="D4AA1A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0785280">
    <w:abstractNumId w:val="2"/>
  </w:num>
  <w:num w:numId="2" w16cid:durableId="1065761136">
    <w:abstractNumId w:val="0"/>
  </w:num>
  <w:num w:numId="3" w16cid:durableId="574971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279"/>
    <w:rsid w:val="0094480A"/>
    <w:rsid w:val="00B70279"/>
    <w:rsid w:val="00F22AFC"/>
    <w:rsid w:val="00F4247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8155F"/>
  <w15:chartTrackingRefBased/>
  <w15:docId w15:val="{C44E40CF-4127-F44D-9AAE-97194AC1A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279"/>
    <w:rPr>
      <w:rFonts w:eastAsiaTheme="majorEastAsia" w:cstheme="majorBidi"/>
      <w:color w:val="272727" w:themeColor="text1" w:themeTint="D8"/>
    </w:rPr>
  </w:style>
  <w:style w:type="paragraph" w:styleId="Title">
    <w:name w:val="Title"/>
    <w:basedOn w:val="Normal"/>
    <w:next w:val="Normal"/>
    <w:link w:val="TitleChar"/>
    <w:uiPriority w:val="10"/>
    <w:qFormat/>
    <w:rsid w:val="00B70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279"/>
    <w:pPr>
      <w:spacing w:before="160"/>
      <w:jc w:val="center"/>
    </w:pPr>
    <w:rPr>
      <w:i/>
      <w:iCs/>
      <w:color w:val="404040" w:themeColor="text1" w:themeTint="BF"/>
    </w:rPr>
  </w:style>
  <w:style w:type="character" w:customStyle="1" w:styleId="QuoteChar">
    <w:name w:val="Quote Char"/>
    <w:basedOn w:val="DefaultParagraphFont"/>
    <w:link w:val="Quote"/>
    <w:uiPriority w:val="29"/>
    <w:rsid w:val="00B70279"/>
    <w:rPr>
      <w:i/>
      <w:iCs/>
      <w:color w:val="404040" w:themeColor="text1" w:themeTint="BF"/>
    </w:rPr>
  </w:style>
  <w:style w:type="paragraph" w:styleId="ListParagraph">
    <w:name w:val="List Paragraph"/>
    <w:basedOn w:val="Normal"/>
    <w:uiPriority w:val="34"/>
    <w:qFormat/>
    <w:rsid w:val="00B70279"/>
    <w:pPr>
      <w:ind w:left="720"/>
      <w:contextualSpacing/>
    </w:pPr>
  </w:style>
  <w:style w:type="character" w:styleId="IntenseEmphasis">
    <w:name w:val="Intense Emphasis"/>
    <w:basedOn w:val="DefaultParagraphFont"/>
    <w:uiPriority w:val="21"/>
    <w:qFormat/>
    <w:rsid w:val="00B70279"/>
    <w:rPr>
      <w:i/>
      <w:iCs/>
      <w:color w:val="0F4761" w:themeColor="accent1" w:themeShade="BF"/>
    </w:rPr>
  </w:style>
  <w:style w:type="paragraph" w:styleId="IntenseQuote">
    <w:name w:val="Intense Quote"/>
    <w:basedOn w:val="Normal"/>
    <w:next w:val="Normal"/>
    <w:link w:val="IntenseQuoteChar"/>
    <w:uiPriority w:val="30"/>
    <w:qFormat/>
    <w:rsid w:val="00B70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279"/>
    <w:rPr>
      <w:i/>
      <w:iCs/>
      <w:color w:val="0F4761" w:themeColor="accent1" w:themeShade="BF"/>
    </w:rPr>
  </w:style>
  <w:style w:type="character" w:styleId="IntenseReference">
    <w:name w:val="Intense Reference"/>
    <w:basedOn w:val="DefaultParagraphFont"/>
    <w:uiPriority w:val="32"/>
    <w:qFormat/>
    <w:rsid w:val="00B70279"/>
    <w:rPr>
      <w:b/>
      <w:bCs/>
      <w:smallCaps/>
      <w:color w:val="0F4761" w:themeColor="accent1" w:themeShade="BF"/>
      <w:spacing w:val="5"/>
    </w:rPr>
  </w:style>
  <w:style w:type="paragraph" w:styleId="Revision">
    <w:name w:val="Revision"/>
    <w:hidden/>
    <w:uiPriority w:val="99"/>
    <w:semiHidden/>
    <w:rsid w:val="00B70279"/>
    <w:pPr>
      <w:spacing w:after="0" w:line="240" w:lineRule="auto"/>
    </w:pPr>
  </w:style>
  <w:style w:type="character" w:customStyle="1" w:styleId="apple-converted-space">
    <w:name w:val="apple-converted-space"/>
    <w:basedOn w:val="DefaultParagraphFont"/>
    <w:rsid w:val="00F42477"/>
  </w:style>
  <w:style w:type="paragraph" w:customStyle="1" w:styleId="font-claude-response-body">
    <w:name w:val="font-claude-response-body"/>
    <w:basedOn w:val="Normal"/>
    <w:rsid w:val="00F4247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F424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42477"/>
    <w:rPr>
      <w:b/>
      <w:bCs/>
    </w:rPr>
  </w:style>
  <w:style w:type="table" w:styleId="TableGrid">
    <w:name w:val="Table Grid"/>
    <w:basedOn w:val="TableNormal"/>
    <w:uiPriority w:val="39"/>
    <w:rsid w:val="00F42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4247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FDCF3-BD10-9240-BB3E-7D14C0F09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826</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Ilgın Güven</dc:creator>
  <cp:keywords/>
  <dc:description/>
  <cp:lastModifiedBy>Ilgın Güven</cp:lastModifiedBy>
  <cp:revision>2</cp:revision>
  <dcterms:created xsi:type="dcterms:W3CDTF">2026-04-07T22:18:00Z</dcterms:created>
  <dcterms:modified xsi:type="dcterms:W3CDTF">2026-04-07T22:18:00Z</dcterms:modified>
</cp:coreProperties>
</file>