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A1" w:rsidRPr="009765A1" w:rsidRDefault="009765A1" w:rsidP="009765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5A1">
        <w:rPr>
          <w:sz w:val="28"/>
          <w:szCs w:val="28"/>
        </w:rPr>
        <w:t>Da li možete objasniti postupak zamene realizovanih mera na objektima koji su predviđeni za investiciju?</w:t>
      </w:r>
      <w:bookmarkStart w:id="0" w:name="_GoBack"/>
      <w:bookmarkEnd w:id="0"/>
    </w:p>
    <w:p w:rsidR="003C3ECC" w:rsidRDefault="009765A1" w:rsidP="009765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5A1">
        <w:rPr>
          <w:sz w:val="28"/>
          <w:szCs w:val="28"/>
        </w:rPr>
        <w:t>Ko vrši i na koji način verifikaciju uspešnosti projekta?</w:t>
      </w:r>
    </w:p>
    <w:p w:rsidR="009765A1" w:rsidRDefault="009765A1" w:rsidP="009765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5A1">
        <w:rPr>
          <w:sz w:val="28"/>
          <w:szCs w:val="28"/>
        </w:rPr>
        <w:t>Da li su sve opštine dostavile jednak nivo traženih podataka?</w:t>
      </w:r>
    </w:p>
    <w:p w:rsidR="009765A1" w:rsidRDefault="009765A1" w:rsidP="009765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65A1">
        <w:rPr>
          <w:sz w:val="28"/>
          <w:szCs w:val="28"/>
        </w:rPr>
        <w:t>Ko će biti investitor? Na koga će glasiti dozvole?</w:t>
      </w:r>
    </w:p>
    <w:p w:rsidR="008B7C48" w:rsidRDefault="008B7C48" w:rsidP="008B7C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C48">
        <w:rPr>
          <w:sz w:val="28"/>
          <w:szCs w:val="28"/>
        </w:rPr>
        <w:t>Šta ostaje kao dodata – nova vrednost nakon projekta po opštinama</w:t>
      </w:r>
      <w:r w:rsidR="0056168C">
        <w:rPr>
          <w:sz w:val="28"/>
          <w:szCs w:val="28"/>
        </w:rPr>
        <w:t>, u čemu će se investiciona komponenta razlikovati od sličnih projekata koji se realizuju u Srbiji</w:t>
      </w:r>
      <w:r w:rsidRPr="008B7C48">
        <w:rPr>
          <w:sz w:val="28"/>
          <w:szCs w:val="28"/>
        </w:rPr>
        <w:t>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Ako se neki od predloženih objekata energetski sanira i realizuju mere unapređenja energetske efikasnosti da li će biti moguće ubaciti novi objekat sa spremnom projektnom dokumentacijom pod uslovom da tender još nije raspisan?</w:t>
      </w:r>
      <w:r>
        <w:rPr>
          <w:sz w:val="28"/>
          <w:szCs w:val="28"/>
        </w:rPr>
        <w:t xml:space="preserve"> Do kada je ovo moguće raditi?</w:t>
      </w:r>
    </w:p>
    <w:p w:rsid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će predstavnici opštine biti u prilici da učestvuju u konačnom izboru objekata i mera koje će se realizovati po objektima</w:t>
      </w:r>
      <w:r>
        <w:rPr>
          <w:sz w:val="28"/>
          <w:szCs w:val="28"/>
        </w:rPr>
        <w:t>, kao i prilikom dodavanja ili uklanjanja objekata/mera po objektima nakon sprovedenog postupka javne nabavke</w:t>
      </w:r>
      <w:r w:rsidRPr="0056168C">
        <w:rPr>
          <w:sz w:val="28"/>
          <w:szCs w:val="28"/>
        </w:rPr>
        <w:t>?</w:t>
      </w:r>
    </w:p>
    <w:p w:rsid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6168C">
        <w:rPr>
          <w:sz w:val="28"/>
          <w:szCs w:val="28"/>
        </w:rPr>
        <w:t>U kojoj će se meri poštovati iskazani priorirteti mera koje su opštine iskazale u dostavljenim upitnicima?</w:t>
      </w:r>
      <w:r>
        <w:rPr>
          <w:sz w:val="28"/>
          <w:szCs w:val="28"/>
        </w:rPr>
        <w:t xml:space="preserve"> Nisu se poštovale u studiji izvodljivosti.</w:t>
      </w:r>
    </w:p>
    <w:p w:rsid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Ko realizuje tendere? Ko određuje sastav komisije za tendere?</w:t>
      </w:r>
      <w:r>
        <w:rPr>
          <w:sz w:val="28"/>
          <w:szCs w:val="28"/>
        </w:rPr>
        <w:t xml:space="preserve"> Mogu li predstavnici opština da budu u komisiji jer opštine sufinansiraju projekat?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je moguće da stručni nadzor obezbede opštine i da to bude deo njenog učešća u okviru projekta?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postoji mogućnost da dođe do promene u okviru komponente „capacity building“ u smislu ubacivanja nekih obuka koje bi stvarno povećale naš kapacitet?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je moguća promena predloženih mera energetske efikasnosti za objekte koji su predviđeni za finansiranje kroz investicionu komponentu (jedan primer: mera postavljanja solarne zaštite na objektima po nama nema toliko smisla pošto za vreme leta kada je sunčevo zračenje najveće u objektima ne borave deca)?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je utvrđen kriterijum za redosled eliminacije pojedinih mera na objektima u slučaju da se kroz tender pokaže da su predviđena sredstva za taj objekat nedovoljna?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lastRenderedPageBreak/>
        <w:t xml:space="preserve">Ako opština svojim sredstvima reši u međuvremenu neke od mera sa spiska koji su predviđeni za finansiranje kroz investicionu komponentu rečeno nam je da je moguća zamena,  ali je pitanje ko odlučuje gde će i na šta biti utrošena ta sredstva (da li na neku novu meru na postojećim objektima ili na nekom novom objektu)? 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Šta se dešava ako se već izradjena projektna dokumentacija (urađena pre studije izvodljivosti) razlikuje u nekim parametrima od mera predloženih u studiji izvodljivosti (na primer u projektima smo predvideli kvalitetnije prozore sa trostrukim staklom, dok su u studiji izvodljivosti predviđeni prozori samo sa dva stakla)?</w:t>
      </w:r>
      <w:r w:rsidR="00D173C8">
        <w:rPr>
          <w:sz w:val="28"/>
          <w:szCs w:val="28"/>
        </w:rPr>
        <w:t xml:space="preserve"> Da li se mora ponovo raditi projektna dokumentacija?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izrađena projektna dokumentacija ulazi u učešće opštine i ko i na koji način procenjuje vrednost tih projekata (neke od tih projekata smo nabavili putem tendera, a veći deo njih smo sami uradili)? Ovo pitanje nam je veoma bitno jer smo i dalje u procesu izrade proje</w:t>
      </w:r>
      <w:r w:rsidR="00D173C8">
        <w:rPr>
          <w:sz w:val="28"/>
          <w:szCs w:val="28"/>
        </w:rPr>
        <w:t>k</w:t>
      </w:r>
      <w:r w:rsidRPr="0056168C">
        <w:rPr>
          <w:sz w:val="28"/>
          <w:szCs w:val="28"/>
        </w:rPr>
        <w:t>tne dokumentacije.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izrađeni elaborati energetske efikasnosti i pasoši takođe ulaze kao učešće opštine i na koji način se određuje njihova vrednost?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oprema kupljena u svrhu ovog projekta (blower door i termovizijska kamera) ulazi u učešće opštine?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merenja izvršena tom i drugom opremom pre i posle primenjenih mera energetske efikasnosti</w:t>
      </w:r>
      <w:r w:rsidR="00D173C8">
        <w:rPr>
          <w:sz w:val="28"/>
          <w:szCs w:val="28"/>
        </w:rPr>
        <w:t xml:space="preserve">, a sve u cilju </w:t>
      </w:r>
      <w:r w:rsidR="00D173C8">
        <w:rPr>
          <w:sz w:val="28"/>
          <w:szCs w:val="28"/>
        </w:rPr>
        <w:t>verifikacije</w:t>
      </w:r>
      <w:r w:rsidR="00D173C8">
        <w:rPr>
          <w:sz w:val="28"/>
          <w:szCs w:val="28"/>
        </w:rPr>
        <w:t xml:space="preserve"> kvalitetno obavljenih radova i vidljivosti projekta, </w:t>
      </w:r>
      <w:r w:rsidRPr="0056168C">
        <w:rPr>
          <w:sz w:val="28"/>
          <w:szCs w:val="28"/>
        </w:rPr>
        <w:t>ulaze u učešće opštine i ko procenjuje vrednost tih radova?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Ako je opštini Vrbas dodeljeno 1,5 miliona CHF, a učešće opštine 20%, da li to znači da je tih 20% deo pomenutih 1,5 miliona ili je to dodatak na 1,5 miliona (od švajcarske vlade se dobija 1,5 miliona + 0,3 miliona kao učešće opštine ili se od švajcarske vlade dobija 1,2 miliona + 0,3 miliona kao učešće opštine)? Da li je tu uključen pdv? Ako nije, čija je obaveza plaćanja PDV-a?</w:t>
      </w:r>
    </w:p>
    <w:p w:rsidR="0056168C" w:rsidRPr="0056168C" w:rsidRDefault="0056168C" w:rsidP="005616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68C">
        <w:rPr>
          <w:sz w:val="28"/>
          <w:szCs w:val="28"/>
        </w:rPr>
        <w:t>Da li će se budući tender raditi po partijama? Ako da, da li su partije opštine ili pojedine mere na objektima?</w:t>
      </w:r>
    </w:p>
    <w:p w:rsidR="0056168C" w:rsidRDefault="00BE4130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4130">
        <w:rPr>
          <w:sz w:val="28"/>
          <w:szCs w:val="28"/>
        </w:rPr>
        <w:t>Na strani 10 stoji</w:t>
      </w:r>
      <w:r>
        <w:rPr>
          <w:sz w:val="28"/>
          <w:szCs w:val="28"/>
        </w:rPr>
        <w:t>:</w:t>
      </w:r>
      <w:r w:rsidRPr="00BE413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„</w:t>
      </w:r>
      <w:r w:rsidRPr="00BE4130">
        <w:rPr>
          <w:b/>
          <w:bCs/>
          <w:sz w:val="28"/>
          <w:szCs w:val="28"/>
        </w:rPr>
        <w:t xml:space="preserve">Vrbas, </w:t>
      </w:r>
      <w:r w:rsidRPr="00BE4130">
        <w:rPr>
          <w:sz w:val="28"/>
          <w:szCs w:val="28"/>
        </w:rPr>
        <w:t>as the municipality with the best-developed energy management team and with clear concepts and views towards their future activities, but with very limited possibilities</w:t>
      </w:r>
      <w:r>
        <w:rPr>
          <w:sz w:val="28"/>
          <w:szCs w:val="28"/>
        </w:rPr>
        <w:t xml:space="preserve"> </w:t>
      </w:r>
      <w:r w:rsidRPr="00BE4130">
        <w:rPr>
          <w:sz w:val="28"/>
          <w:szCs w:val="28"/>
        </w:rPr>
        <w:t xml:space="preserve">to implement the </w:t>
      </w:r>
      <w:r w:rsidRPr="00BE4130">
        <w:rPr>
          <w:sz w:val="28"/>
          <w:szCs w:val="28"/>
        </w:rPr>
        <w:lastRenderedPageBreak/>
        <w:t xml:space="preserve">project ideas, </w:t>
      </w:r>
      <w:r w:rsidRPr="00BE4130">
        <w:rPr>
          <w:b/>
          <w:bCs/>
          <w:sz w:val="28"/>
          <w:szCs w:val="28"/>
        </w:rPr>
        <w:t>shall be supported</w:t>
      </w:r>
      <w:r w:rsidRPr="00BE4130">
        <w:rPr>
          <w:sz w:val="28"/>
          <w:szCs w:val="28"/>
        </w:rPr>
        <w:t>: In the development of a regional energy center, highly visible and serving as a lighttower through out Serbia or the Vojvodina“</w:t>
      </w:r>
      <w:r>
        <w:rPr>
          <w:sz w:val="28"/>
          <w:szCs w:val="28"/>
        </w:rPr>
        <w:t xml:space="preserve"> U čemu se sastoji ova podrška konkretno u ovom projektu.</w:t>
      </w:r>
    </w:p>
    <w:p w:rsidR="00BE4130" w:rsidRDefault="00BE4130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Preciznije definisati ulogu opštine Vrbas u capacity building komponenti. </w:t>
      </w:r>
      <w:r w:rsidR="00310695">
        <w:rPr>
          <w:sz w:val="28"/>
          <w:szCs w:val="28"/>
        </w:rPr>
        <w:t>Šta konkretno opština Vrbas i zaposleni iz Kancelarije za energetski menadžment dobijaju konkretno prilikom transfera svog „know how“ kao što stoji na strani 15. studije.</w:t>
      </w:r>
      <w:r w:rsidR="00EC0706">
        <w:rPr>
          <w:sz w:val="28"/>
          <w:szCs w:val="28"/>
        </w:rPr>
        <w:t xml:space="preserve"> Na strani 55 takođe stoji da će opština Vrbas igrati ključnu ulogu u razmeni iskustava sa drugim opštinama.</w:t>
      </w:r>
    </w:p>
    <w:p w:rsidR="00BE4130" w:rsidRDefault="00BE4130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 EEA komponentu definisati učešće opštine u novcu i nivo angažmana ljudi koji će učestvovati u ovoj komponenti. Definisati po godinama realizacije.</w:t>
      </w:r>
    </w:p>
    <w:p w:rsidR="00310695" w:rsidRDefault="0037345C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Ako je na objektu realizovana mera koja nije u skladu sa merom predviđenom u studiji izvodljivosti, a povećava energetsku efikasnost, da li se iznos sredstava predviđenih za tu meru u studiji može prebaciti na drugi objekat ili meru?</w:t>
      </w:r>
    </w:p>
    <w:p w:rsidR="00BE4130" w:rsidRDefault="0037345C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10695">
        <w:rPr>
          <w:sz w:val="28"/>
          <w:szCs w:val="28"/>
        </w:rPr>
        <w:t>Kada će Ministarstvo zaključiti ugovor sa lokalnim samoupravama „Project agreements“ str 16.</w:t>
      </w:r>
    </w:p>
    <w:p w:rsidR="00310695" w:rsidRDefault="00A03191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 li kao učešće opštine morju</w:t>
      </w:r>
      <w:r w:rsidR="00310695">
        <w:rPr>
          <w:sz w:val="28"/>
          <w:szCs w:val="28"/>
        </w:rPr>
        <w:t xml:space="preserve"> postojati </w:t>
      </w:r>
      <w:r>
        <w:rPr>
          <w:sz w:val="28"/>
          <w:szCs w:val="28"/>
        </w:rPr>
        <w:t>finansijka sredstva i ako da u kojem procentu i za kada ona moraju da budu obezbeđena (koja godina)? Ili čitavo učešće može biti projektna dokumentacija, nadzor, merenje, ishodovanje dozvola...</w:t>
      </w:r>
    </w:p>
    <w:p w:rsidR="00A03191" w:rsidRDefault="00966F19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 čega su namenjeni „Contingencies EE/RE“? Da li je njima moguće finansirati regionalni centar?</w:t>
      </w:r>
    </w:p>
    <w:p w:rsidR="00966F19" w:rsidRDefault="00966F19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strani 24 u tabeli 4 „Status of legal requirements in energy policy“ iznešena je neistina po pitanju izvršenih energetskih audita. Za opštinu Vrbas je naznačeno da nije izvršena implementacija audita, a istina je da su za sve javne objekte na teritoriji opšine urađeni energetski auditi u šta su se konsultanti i lično uverili. Tačno je da zakonska legislativa fali, ali ona fal</w:t>
      </w:r>
      <w:r w:rsidR="005C0020">
        <w:rPr>
          <w:sz w:val="28"/>
          <w:szCs w:val="28"/>
        </w:rPr>
        <w:t>i i za formiranje kancelarije z</w:t>
      </w:r>
      <w:r>
        <w:rPr>
          <w:sz w:val="28"/>
          <w:szCs w:val="28"/>
        </w:rPr>
        <w:t>a energetski menadžment,  a ipak u Vrbasu postoji i radi punim kapacitetom kao što je navedeno u tabeli.</w:t>
      </w:r>
    </w:p>
    <w:p w:rsidR="00DC4478" w:rsidRDefault="009500B0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 li opština Vrbas može da utiče na realizaciju opcije Quick Wins predlaganjem nekog rešenja za svoju opštinu?</w:t>
      </w:r>
    </w:p>
    <w:p w:rsidR="009500B0" w:rsidRDefault="009500B0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Strana 66 zadnja formula na toj strani je netačna</w:t>
      </w:r>
      <w:r w:rsidR="00A14CF7">
        <w:rPr>
          <w:sz w:val="28"/>
          <w:szCs w:val="28"/>
        </w:rPr>
        <w:t>.</w:t>
      </w:r>
    </w:p>
    <w:p w:rsidR="006632B2" w:rsidRDefault="006632B2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 finansira vršenje nadzora nad izvođenjem radova?</w:t>
      </w:r>
    </w:p>
    <w:p w:rsidR="006632B2" w:rsidRDefault="006632B2" w:rsidP="00BE4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Od konsultanata i SECO-a nismo dobili nikakve instrukcije za projektovanje, a projekti se već uveliko rade.</w:t>
      </w:r>
    </w:p>
    <w:p w:rsidR="006632B2" w:rsidRDefault="006632B2" w:rsidP="006632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strani 95 stoji „</w:t>
      </w:r>
      <w:r w:rsidRPr="006632B2">
        <w:rPr>
          <w:sz w:val="28"/>
          <w:szCs w:val="28"/>
        </w:rPr>
        <w:t>The thermal insulation of external walls for the kindergarten “Bubica” shall also be developed</w:t>
      </w:r>
      <w:r w:rsidRPr="006632B2">
        <w:rPr>
          <w:sz w:val="28"/>
          <w:szCs w:val="28"/>
        </w:rPr>
        <w:t xml:space="preserve"> </w:t>
      </w:r>
      <w:r w:rsidRPr="006632B2">
        <w:rPr>
          <w:sz w:val="28"/>
          <w:szCs w:val="28"/>
        </w:rPr>
        <w:t>and included in this project.</w:t>
      </w:r>
      <w:r w:rsidRPr="006632B2">
        <w:rPr>
          <w:sz w:val="28"/>
          <w:szCs w:val="28"/>
        </w:rPr>
        <w:t>“</w:t>
      </w:r>
      <w:r>
        <w:rPr>
          <w:sz w:val="28"/>
          <w:szCs w:val="28"/>
        </w:rPr>
        <w:t xml:space="preserve"> dok na strani </w:t>
      </w:r>
      <w:r w:rsidR="000F07E2">
        <w:rPr>
          <w:sz w:val="28"/>
          <w:szCs w:val="28"/>
        </w:rPr>
        <w:t xml:space="preserve">263 ova mera nije uključena (tabela </w:t>
      </w:r>
      <w:r w:rsidR="000F07E2" w:rsidRPr="000F07E2">
        <w:rPr>
          <w:sz w:val="28"/>
          <w:szCs w:val="28"/>
        </w:rPr>
        <w:t xml:space="preserve">WTA Report </w:t>
      </w:r>
      <w:r w:rsidR="000F07E2" w:rsidRPr="000F07E2">
        <w:rPr>
          <w:sz w:val="28"/>
          <w:szCs w:val="28"/>
        </w:rPr>
        <w:t>–</w:t>
      </w:r>
      <w:r w:rsidR="000F07E2" w:rsidRPr="000F07E2">
        <w:rPr>
          <w:sz w:val="28"/>
          <w:szCs w:val="28"/>
        </w:rPr>
        <w:t xml:space="preserve"> Summary</w:t>
      </w:r>
      <w:r w:rsidR="000F07E2" w:rsidRPr="000F07E2">
        <w:rPr>
          <w:sz w:val="28"/>
          <w:szCs w:val="28"/>
        </w:rPr>
        <w:t xml:space="preserve"> „Bubica“)</w:t>
      </w:r>
    </w:p>
    <w:p w:rsidR="000F07E2" w:rsidRDefault="000F07E2" w:rsidP="006632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Strana 149 stavka 3 predviđa obuku osoba zaduženih za održavanje objekta koja se održava u Užicu. Da </w:t>
      </w:r>
      <w:r w:rsidR="00282D8E">
        <w:rPr>
          <w:sz w:val="28"/>
          <w:szCs w:val="28"/>
        </w:rPr>
        <w:t>li na ovaj kurs idu samo predstavnici objektata koji su selektovani za investicionu komponentu ili svih objektata obrazovnih institucija na teritoriji opštine? Ko plaća njihov put, dnevnice i troškove smeštaja?</w:t>
      </w:r>
    </w:p>
    <w:p w:rsidR="00C71A5B" w:rsidRDefault="00C71A5B" w:rsidP="006632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Čiji je trošak prevod tenderske dokumentacije na engleski jezik?</w:t>
      </w:r>
    </w:p>
    <w:p w:rsidR="00C71A5B" w:rsidRDefault="00C71A5B" w:rsidP="006632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 li već dolazi do promene i korekcije dinamičkog plana koji je dat u studiji izvodljivosti?</w:t>
      </w:r>
    </w:p>
    <w:p w:rsidR="00471623" w:rsidRDefault="00471623" w:rsidP="006632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 li će se uspostaviti bilateralni sporazum između Srbije i Švajcarske u 2015. godini kao što stoji na strani 178?</w:t>
      </w:r>
    </w:p>
    <w:p w:rsidR="00471623" w:rsidRDefault="00471623" w:rsidP="006632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Kada će biti izabrani konsultanti za implementaciju?</w:t>
      </w:r>
    </w:p>
    <w:p w:rsidR="006632B2" w:rsidRPr="006632B2" w:rsidRDefault="006632B2" w:rsidP="006632B2">
      <w:pPr>
        <w:ind w:left="360"/>
        <w:rPr>
          <w:sz w:val="28"/>
          <w:szCs w:val="28"/>
        </w:rPr>
      </w:pPr>
    </w:p>
    <w:sectPr w:rsidR="006632B2" w:rsidRPr="00663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AB3"/>
    <w:multiLevelType w:val="hybridMultilevel"/>
    <w:tmpl w:val="73DC20B2"/>
    <w:lvl w:ilvl="0" w:tplc="AEEABDC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0BB7"/>
    <w:multiLevelType w:val="hybridMultilevel"/>
    <w:tmpl w:val="73DC20B2"/>
    <w:lvl w:ilvl="0" w:tplc="AEEABDC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840EE"/>
    <w:multiLevelType w:val="hybridMultilevel"/>
    <w:tmpl w:val="36560ADA"/>
    <w:lvl w:ilvl="0" w:tplc="AEEABDC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405CB"/>
    <w:multiLevelType w:val="hybridMultilevel"/>
    <w:tmpl w:val="26E0D9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2B"/>
    <w:rsid w:val="000F07E2"/>
    <w:rsid w:val="00282D8E"/>
    <w:rsid w:val="00310695"/>
    <w:rsid w:val="0037345C"/>
    <w:rsid w:val="003C3ECC"/>
    <w:rsid w:val="00471623"/>
    <w:rsid w:val="0056168C"/>
    <w:rsid w:val="005C0020"/>
    <w:rsid w:val="006632B2"/>
    <w:rsid w:val="008B7C48"/>
    <w:rsid w:val="009500B0"/>
    <w:rsid w:val="00966F19"/>
    <w:rsid w:val="009765A1"/>
    <w:rsid w:val="00A03191"/>
    <w:rsid w:val="00A14CF7"/>
    <w:rsid w:val="00B7700A"/>
    <w:rsid w:val="00BE4130"/>
    <w:rsid w:val="00C71A5B"/>
    <w:rsid w:val="00D173C8"/>
    <w:rsid w:val="00D2032B"/>
    <w:rsid w:val="00DC4478"/>
    <w:rsid w:val="00EC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BE430-943C-4768-A003-4920ECF1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zeljko.zecevic</dc:creator>
  <cp:lastModifiedBy>zeljko.zecevic</cp:lastModifiedBy>
  <cp:revision>11</cp:revision>
  <dcterms:created xsi:type="dcterms:W3CDTF">2015-11-30T09:21:00Z</dcterms:created>
  <dcterms:modified xsi:type="dcterms:W3CDTF">2015-11-30T11:41:00Z</dcterms:modified>
</cp:coreProperties>
</file>