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icrosoft JhengHei" w:cs="Microsoft JhengHei" w:eastAsia="Microsoft JhengHei" w:hAnsi="Microsoft JhengHei"/>
          <w:b/>
          <w:bCs/>
          <w:color w:val="1F4E5F"/>
          <w:sz w:val="36"/>
          <w:szCs w:val="36"/>
        </w:rPr>
        <w:t xml:space="preserve">AQUASKY 官網改版暨 CMS 建置</w:t>
      </w:r>
    </w:p>
    <w:p>
      <w:pPr>
        <w:pBdr>
          <w:bottom w:val="single" w:color="1F4E5F" w:sz="8"/>
        </w:pBdr>
        <w:spacing w:after="200"/>
      </w:pPr>
      <w:r>
        <w:rPr>
          <w:rFonts w:ascii="Microsoft JhengHei" w:cs="Microsoft JhengHei" w:eastAsia="Microsoft JhengHei" w:hAnsi="Microsoft JhengHei"/>
          <w:b/>
          <w:bCs/>
          <w:color w:val="444444"/>
          <w:sz w:val="28"/>
          <w:szCs w:val="28"/>
        </w:rPr>
        <w:t xml:space="preserve">工程報價需求文件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文件日期：2026-08-27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提供單位：梵亞行銷（窗口：Zell Huang）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用途：供工程端評估工作量與報價。SEO／結構化資料的「內容值」由梵亞另行提供，本文件只列工程需求。</w:t>
      </w:r>
    </w:p>
    <w:p>
      <w:pPr>
        <w:spacing w:after="20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參考範本頁：https://aquaskyplus.com/en/LQCOL-PLUS（客戶設計稿：LQC網站 20260824.pdf）</w:t>
      </w:r>
    </w:p>
    <w:p>
      <w:pPr>
        <w:pStyle w:val="Heading1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4E5F"/>
          <w:sz w:val="28"/>
          <w:szCs w:val="28"/>
        </w:rPr>
        <w:t xml:space="preserve">1. 背景與目標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客戶（AQUASKY）將進行官網改版，並建置 CMS 後台，讓客戶端可自行維護內容。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LQCOL PLUS 系列頁是第一個依新版設計稿改版的頁面，作為全站產品頁的範本。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網站內容需同時服務「人」與「AI 搜尋引擎」，因此對 HTML 語意結構與結構化資料有明確要求（詳第 5 節）。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網站上線後，另有一層 Cloudflare Worker（由梵亞維運）會在邊緣端補結構化資料；上線排程需與梵亞協調同步調整。</w:t>
      </w:r>
    </w:p>
    <w:p>
      <w:pPr>
        <w:pStyle w:val="Heading1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4E5F"/>
          <w:sz w:val="28"/>
          <w:szCs w:val="28"/>
        </w:rPr>
        <w:t xml:space="preserve">2. 範圍 A — LQCOL PLUS 頁面改版（範本頁）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依客戶設計稿（LQC網站 20260824.pdf）在既有頁面新增／改寫以下區塊：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00"/>
        <w:gridCol w:w="3600"/>
        <w:gridCol w:w="2926"/>
      </w:tblGrid>
      <w:tr>
        <w:trPr>
          <w:tblHeader/>
        </w:trPr>
        <w:tc>
          <w:tcPr>
            <w:tcW w:type="dxa" w:w="600"/>
            <w:shd w:fill="ED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20"/>
                <w:szCs w:val="20"/>
              </w:rPr>
              <w:t xml:space="preserve">#</w:t>
            </w:r>
          </w:p>
        </w:tc>
        <w:tc>
          <w:tcPr>
            <w:tcW w:type="dxa" w:w="1900"/>
            <w:shd w:fill="ED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20"/>
                <w:szCs w:val="20"/>
              </w:rPr>
              <w:t xml:space="preserve">區塊</w:t>
            </w:r>
          </w:p>
        </w:tc>
        <w:tc>
          <w:tcPr>
            <w:tcW w:type="dxa" w:w="3600"/>
            <w:shd w:fill="ED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20"/>
                <w:szCs w:val="20"/>
              </w:rPr>
              <w:t xml:space="preserve">內容</w:t>
            </w:r>
          </w:p>
        </w:tc>
        <w:tc>
          <w:tcPr>
            <w:tcW w:type="dxa" w:w="2926"/>
            <w:shd w:fill="ED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A1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About 段落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改寫為新版文案（資料中心液冷定位）</w:t>
            </w:r>
          </w:p>
        </w:tc>
        <w:tc>
          <w:tcPr>
            <w:tcW w:type="dxa" w:w="2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文案由客戶／梵亞提供定稿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A2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Key Features &amp; Advantages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三張特色卡（Shell Materials / EPDM Rubber / N₂ Pre-charge）</w:t>
            </w:r>
          </w:p>
        </w:tc>
        <w:tc>
          <w:tcPr>
            <w:tcW w:type="dxa" w:w="2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卡片內文字為 HTML 文字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A3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產品剖面圖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兩張剖面圖＋標註說明</w:t>
            </w:r>
          </w:p>
        </w:tc>
        <w:tc>
          <w:tcPr>
            <w:tcW w:type="dxa" w:w="2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標註文字必須是 HTML 文字疊在圖旁，不可合併進圖片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A4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Applications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應用場景清單（AI/HPC 資料中心、CDU 二次迴路等）</w:t>
            </w:r>
          </w:p>
        </w:tc>
        <w:tc>
          <w:tcPr>
            <w:tcW w:type="dxa" w:w="2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A5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系列 FAQ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 組問答（僅限本系列產品；與既有全站 FAQ 頁並存，互不取代）</w:t>
            </w:r>
          </w:p>
        </w:tc>
        <w:tc>
          <w:tcPr>
            <w:tcW w:type="dxa" w:w="2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問答成對、可增刪，見 CMS 需求 B2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A6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Downloads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產品型錄 PDF、使用手冊 PDF 下載連結</w:t>
            </w:r>
          </w:p>
        </w:tc>
        <w:tc>
          <w:tcPr>
            <w:tcW w:type="dxa" w:w="2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連結文字需可編輯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A7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既有區塊保留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規格表（維持真實 &lt;table&gt;）、Product Features 表、Product Line</w:t>
            </w:r>
          </w:p>
        </w:tc>
        <w:tc>
          <w:tcPr>
            <w:tcW w:type="dxa" w:w="2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不可改為圖片</w:t>
            </w:r>
          </w:p>
        </w:tc>
      </w:tr>
    </w:tbl>
    <w:p>
      <w:pPr>
        <w:spacing w:after="120"/>
      </w:pPr>
    </w:p>
    <w:p>
      <w:pPr>
        <w:pStyle w:val="Heading1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4E5F"/>
          <w:sz w:val="28"/>
          <w:szCs w:val="28"/>
        </w:rPr>
        <w:t xml:space="preserve">3. 範圍 B — CMS 後台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300"/>
        <w:gridCol w:w="6126"/>
      </w:tblGrid>
      <w:tr>
        <w:trPr>
          <w:tblHeader/>
        </w:trPr>
        <w:tc>
          <w:tcPr>
            <w:tcW w:type="dxa" w:w="600"/>
            <w:shd w:fill="ED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20"/>
                <w:szCs w:val="20"/>
              </w:rPr>
              <w:t xml:space="preserve">#</w:t>
            </w:r>
          </w:p>
        </w:tc>
        <w:tc>
          <w:tcPr>
            <w:tcW w:type="dxa" w:w="2300"/>
            <w:shd w:fill="ED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20"/>
                <w:szCs w:val="20"/>
              </w:rPr>
              <w:t xml:space="preserve">需求</w:t>
            </w:r>
          </w:p>
        </w:tc>
        <w:tc>
          <w:tcPr>
            <w:tcW w:type="dxa" w:w="6126"/>
            <w:shd w:fill="ED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B1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區塊式內容編輯</w:t>
            </w:r>
          </w:p>
        </w:tc>
        <w:tc>
          <w:tcPr>
            <w:tcW w:type="dxa" w:w="61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範圍 A 各區塊可於後台編輯（文字、圖片、排序）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B2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FAQ 模組</w:t>
            </w:r>
          </w:p>
        </w:tc>
        <w:tc>
          <w:tcPr>
            <w:tcW w:type="dxa" w:w="61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問／答成對管理，可增刪排序；前台輸出語意化 HTML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B3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規格表編輯</w:t>
            </w:r>
          </w:p>
        </w:tc>
        <w:tc>
          <w:tcPr>
            <w:tcW w:type="dxa" w:w="61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以列為單位編輯（型號、容量、尺寸…），前台輸出真實 &lt;table&gt;（&lt;th&gt;／&lt;td&gt; 正確）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B4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檔案管理</w:t>
            </w:r>
          </w:p>
        </w:tc>
        <w:tc>
          <w:tcPr>
            <w:tcW w:type="dxa" w:w="61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PDF 上傳與連結管理（Downloads 區）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B5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圖片管理</w:t>
            </w:r>
          </w:p>
        </w:tc>
        <w:tc>
          <w:tcPr>
            <w:tcW w:type="dxa" w:w="61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上傳時必填 alt 替代文字欄位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B6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SEO 欄位</w:t>
            </w:r>
          </w:p>
        </w:tc>
        <w:tc>
          <w:tcPr>
            <w:tcW w:type="dxa" w:w="61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每頁獨立的 title、meta description、canonical 設定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B7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結構化資料自動生成</w:t>
            </w:r>
          </w:p>
        </w:tc>
        <w:tc>
          <w:tcPr>
            <w:tcW w:type="dxa" w:w="61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JSON-LD（Product、FAQPage、BreadcrumbList、Organization）由 CMS 依頁面實際內容自動產生，不採人工貼 code。理由：現行手貼流程已造成頁面與結構化資料不一致（詳第 4 節）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B8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FAQPage 輸出開關</w:t>
            </w:r>
          </w:p>
        </w:tc>
        <w:tc>
          <w:tcPr>
            <w:tcW w:type="dxa" w:w="61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FAQ 模組可設定是否輸出 FAQPage JSON-LD（與邊緣層分工，由梵亞指定開或關）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FF7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★ B7 是本案重點需求：結構化資料的每一個欄位值，都必須與頁面可見內容同一來源，改一處即兩處同步。</w:t>
            </w:r>
          </w:p>
        </w:tc>
      </w:tr>
    </w:tbl>
    <w:p>
      <w:pPr>
        <w:spacing w:after="120"/>
      </w:pPr>
    </w:p>
    <w:p>
      <w:pPr>
        <w:pStyle w:val="Heading1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4E5F"/>
          <w:sz w:val="28"/>
          <w:szCs w:val="28"/>
        </w:rPr>
        <w:t xml:space="preserve">4. 範圍 C — 既有問題修正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4226"/>
      </w:tblGrid>
      <w:tr>
        <w:trPr>
          <w:tblHeader/>
        </w:trPr>
        <w:tc>
          <w:tcPr>
            <w:tcW w:type="dxa" w:w="600"/>
            <w:shd w:fill="ED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shd w:fill="ED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20"/>
                <w:szCs w:val="20"/>
              </w:rPr>
              <w:t xml:space="preserve">問題</w:t>
            </w:r>
          </w:p>
        </w:tc>
        <w:tc>
          <w:tcPr>
            <w:tcW w:type="dxa" w:w="4226"/>
            <w:shd w:fill="ED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20"/>
                <w:szCs w:val="20"/>
              </w:rPr>
              <w:t xml:space="preserve">修正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C1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頁面存在兩個 &lt;h1&gt;，其中一個為空</w:t>
            </w:r>
          </w:p>
        </w:tc>
        <w:tc>
          <w:tcPr>
            <w:tcW w:type="dxa" w:w="42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全站每頁僅一個 &lt;h1&gt;；區塊標題用 &lt;h2&gt;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C2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既有 Product JSON-LD 內容與頁面矛盾（材質寫 butyl，頁面寫 EPDM；含頁面上不存在的認證與保固）</w:t>
            </w:r>
          </w:p>
        </w:tc>
        <w:tc>
          <w:tcPr>
            <w:tcW w:type="dxa" w:w="42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改版後由 B7 機制取代；正確欄位值由梵亞提供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C3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Product JSON-LD 的 image 指向 logo.png</w:t>
            </w:r>
          </w:p>
        </w:tc>
        <w:tc>
          <w:tcPr>
            <w:tcW w:type="dxa" w:w="42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改為產品照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C4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title／meta description 為舊定位</w:t>
            </w:r>
          </w:p>
        </w:tc>
        <w:tc>
          <w:tcPr>
            <w:tcW w:type="dxa" w:w="42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新值由梵亞提供，經 B6 欄位設定</w:t>
            </w:r>
          </w:p>
        </w:tc>
      </w:tr>
    </w:tbl>
    <w:p>
      <w:pPr>
        <w:spacing w:after="120"/>
      </w:pPr>
    </w:p>
    <w:p>
      <w:pPr>
        <w:pStyle w:val="Heading1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4E5F"/>
          <w:sz w:val="28"/>
          <w:szCs w:val="28"/>
        </w:rPr>
        <w:t xml:space="preserve">5. 全站性技術要求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文字即文字：所有內容文字（含表格、圖說、標題）一律為 HTML 文字，不得做成圖片。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語意化標題：每頁一個 &lt;h1&gt;（含品類關鍵字），區塊用 &lt;h2&gt;，層級不跳號。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網址延續：改版後保留現有網址結構；無法保留者提供完整 301 轉址對照表。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canonical 與 sitemap：每頁輸出 canonical；sitemap.xml 隨內容自動更新。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多語系架構：保留現有語系切換；各語系網址結構一致。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不得依 User-Agent 分流：所有訪客（人與爬蟲）取得完全相同的 HTML。此為 Google 紅線，違反會遭處罰。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禁止 robots 阻擋：不得於 robots.txt 或 meta robots 阻擋搜尋與 AI 爬蟲（除後台路徑）。</w:t>
      </w:r>
    </w:p>
    <w:p>
      <w:pPr>
        <w:pStyle w:val="Heading1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4E5F"/>
          <w:sz w:val="28"/>
          <w:szCs w:val="28"/>
        </w:rPr>
        <w:t xml:space="preserve">6. 交付與驗收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6026"/>
      </w:tblGrid>
      <w:tr>
        <w:trPr>
          <w:tblHeader/>
        </w:trPr>
        <w:tc>
          <w:tcPr>
            <w:tcW w:type="dxa" w:w="700"/>
            <w:shd w:fill="ED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20"/>
                <w:szCs w:val="20"/>
              </w:rPr>
              <w:t xml:space="preserve">#</w:t>
            </w:r>
          </w:p>
        </w:tc>
        <w:tc>
          <w:tcPr>
            <w:tcW w:type="dxa" w:w="2300"/>
            <w:shd w:fill="ED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20"/>
                <w:szCs w:val="20"/>
              </w:rPr>
              <w:t xml:space="preserve">驗收項目</w:t>
            </w:r>
          </w:p>
        </w:tc>
        <w:tc>
          <w:tcPr>
            <w:tcW w:type="dxa" w:w="6026"/>
            <w:shd w:fill="ED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20"/>
                <w:szCs w:val="20"/>
              </w:rPr>
              <w:t xml:space="preserve">標準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V1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文字可選取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頁面所有內容文字可於瀏覽器直接反白選取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V2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標題結構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每頁單一 &lt;h1&gt;、&lt;h2&gt; 層級正確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V3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結構化資料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Google Rich Results Test 無 error；欄位值皆可對應頁面可見內容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V4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表格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規格表為真實 &lt;table&gt; 且欄目正確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V5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轉址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301 對照表全數生效（若網址有異動）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V6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測試站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上線前提供測試環境供梵亞驗證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V7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上線協調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上線時間提前通知梵亞（邊緣層 Worker 需同步調整，未同步可能造成結構化資料重複或遺漏）</w:t>
            </w:r>
          </w:p>
        </w:tc>
      </w:tr>
    </w:tbl>
    <w:p>
      <w:pPr>
        <w:spacing w:after="120"/>
      </w:pPr>
    </w:p>
    <w:p>
      <w:pPr>
        <w:pStyle w:val="Heading1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4E5F"/>
          <w:sz w:val="28"/>
          <w:szCs w:val="28"/>
        </w:rPr>
        <w:t xml:space="preserve">7. 報價前待確認事項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請工程端於報價時一併回覆或估列選項：</w:t>
      </w:r>
    </w:p>
    <w:p>
      <w:pPr>
        <w:pStyle w:val="ListParagraph"/>
        <w:numPr>
          <w:ilvl w:val="0"/>
          <w:numId w:val="4"/>
        </w:numPr>
        <w:spacing w:after="12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CMS 採用方案：自建或既有系統（WordPress／其他）？</w:t>
      </w:r>
    </w:p>
    <w:p>
      <w:pPr>
        <w:pStyle w:val="ListParagraph"/>
        <w:numPr>
          <w:ilvl w:val="0"/>
          <w:numId w:val="4"/>
        </w:numPr>
        <w:spacing w:after="12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改版範圍：僅產品頁範本套用全部產品線，或含首頁、News、FAQ 等全站頁型？頁面總數？</w:t>
      </w:r>
    </w:p>
    <w:p>
      <w:pPr>
        <w:pStyle w:val="ListParagraph"/>
        <w:numPr>
          <w:ilvl w:val="0"/>
          <w:numId w:val="4"/>
        </w:numPr>
        <w:spacing w:after="12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語系範圍：第一階段僅英文，或含中文與其他語系？</w:t>
      </w:r>
    </w:p>
    <w:p>
      <w:pPr>
        <w:pStyle w:val="ListParagraph"/>
        <w:numPr>
          <w:ilvl w:val="0"/>
          <w:numId w:val="4"/>
        </w:numPr>
        <w:spacing w:after="12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主機環境：沿用現行主機或遷移？（網站前方有 Cloudflare，DNS／Proxy 設定需保留）</w:t>
      </w:r>
    </w:p>
    <w:p>
      <w:pPr>
        <w:pStyle w:val="ListParagraph"/>
        <w:numPr>
          <w:ilvl w:val="0"/>
          <w:numId w:val="4"/>
        </w:numPr>
        <w:spacing w:after="12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內容輸入：既有內容搬遷由工程端或客戶端執行？</w:t>
      </w:r>
    </w:p>
    <w:p>
      <w:pPr>
        <w:pStyle w:val="ListParagraph"/>
        <w:numPr>
          <w:ilvl w:val="0"/>
          <w:numId w:val="4"/>
        </w:numPr>
        <w:spacing w:after="12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預估時程與分期付款方式。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4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4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4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2026-08-27T06:54:16.630Z</dcterms:created>
  <dcterms:modified xsi:type="dcterms:W3CDTF">2026-08-27T06:54:16.631Z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