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28"/>
          <w:szCs w:val="28"/>
        </w:rPr>
        <w:t xml:space="preserve">PATRICIA OKAFOR</w:t>
      </w:r>
    </w:p>
    <w:p>
      <w:pPr>
        <w:spacing w:after="120" w:before="0"/>
        <w:jc w:val="center"/>
      </w:pPr>
      <w:r>
        <w:rPr>
          <w:rFonts w:ascii="Arial" w:cs="Arial" w:eastAsia="Arial" w:hAnsi="Arial"/>
          <w:b w:val="false"/>
          <w:bCs w:val="false"/>
          <w:sz w:val="18"/>
          <w:szCs w:val="18"/>
        </w:rPr>
        <w:t xml:space="preserve">Minneapolis, MN | patricia.okafor@email.com | (612) 555-0534 | linkedin.com/in/patriciaokafor</w:t>
      </w:r>
    </w:p>
    <w:p>
      <w:pPr>
        <w:spacing w:after="120" w:before="0"/>
      </w:pPr>
      <w:r>
        <w:rPr>
          <w:rFonts w:ascii="Arial" w:cs="Arial" w:eastAsia="Arial" w:hAnsi="Arial"/>
          <w:b w:val="false"/>
          <w:bCs w:val="false"/>
          <w:sz w:val="22"/>
          <w:szCs w:val="22"/>
        </w:rPr>
        <w:t xml:space="preserve"/>
      </w:r>
    </w:p>
    <w:p>
      <w:pPr>
        <w:pBdr>
          <w:bottom w:val="single" w:color="333333" w:sz="6"/>
        </w:pBdr>
        <w:spacing w:after="120"/>
      </w:pPr>
    </w:p>
    <w:p>
      <w:pPr>
        <w:spacing w:after="120" w:before="120"/>
      </w:pPr>
      <w:r>
        <w:rPr>
          <w:rFonts w:ascii="Arial" w:cs="Arial" w:eastAsia="Arial" w:hAnsi="Arial"/>
          <w:b/>
          <w:bCs/>
          <w:sz w:val="22"/>
          <w:szCs w:val="22"/>
        </w:rPr>
        <w:t xml:space="preserve">PROFESSIONAL SUMMARY</w:t>
      </w:r>
    </w:p>
    <w:p>
      <w:pPr>
        <w:spacing w:after="120" w:before="0"/>
      </w:pPr>
      <w:r>
        <w:rPr>
          <w:rFonts w:ascii="Arial" w:cs="Arial" w:eastAsia="Arial" w:hAnsi="Arial"/>
          <w:b w:val="false"/>
          <w:bCs w:val="false"/>
          <w:sz w:val="22"/>
          <w:szCs w:val="22"/>
        </w:rPr>
        <w:t xml:space="preserve">Technology executive and independent board director with 25+ years spanning enterprise software, medical devices, and healthcare informatics. Rare combination of deep technical credentials (Stanford CS, former Microsoft Director) and medical device industry leadership (Medtronic CTO, Philips SVP). Currently serving on two public med-tech company boards. Expertise in digital transformation, SaaS platform strategy, and technology M&amp;A governance.</w:t>
      </w:r>
    </w:p>
    <w:p>
      <w:pPr>
        <w:pBdr>
          <w:bottom w:val="single" w:color="CCCCCC" w:sz="2"/>
        </w:pBdr>
        <w:spacing w:after="120" w:before="120"/>
      </w:pPr>
    </w:p>
    <w:p>
      <w:pPr>
        <w:spacing w:after="120" w:before="120"/>
      </w:pPr>
      <w:r>
        <w:rPr>
          <w:rFonts w:ascii="Arial" w:cs="Arial" w:eastAsia="Arial" w:hAnsi="Arial"/>
          <w:b/>
          <w:bCs/>
          <w:sz w:val="22"/>
          <w:szCs w:val="22"/>
        </w:rPr>
        <w:t xml:space="preserve">BOARD SERVICE</w:t>
      </w:r>
    </w:p>
    <w:p>
      <w:pPr>
        <w:spacing w:after="120" w:before="160"/>
      </w:pPr>
      <w:r>
        <w:rPr>
          <w:rFonts w:ascii="Arial" w:cs="Arial" w:eastAsia="Arial" w:hAnsi="Arial"/>
          <w:b/>
          <w:bCs/>
          <w:sz w:val="22"/>
          <w:szCs w:val="22"/>
        </w:rPr>
        <w:t xml:space="preserve">Independent Board Director — Haemonetics Corporation (NYSE: HAE)</w:t>
      </w:r>
    </w:p>
    <w:p>
      <w:pPr>
        <w:spacing w:after="120" w:before="0"/>
      </w:pPr>
      <w:r>
        <w:rPr>
          <w:rFonts w:ascii="Arial" w:cs="Arial" w:eastAsia="Arial" w:hAnsi="Arial"/>
          <w:b w:val="false"/>
          <w:bCs w:val="false"/>
          <w:sz w:val="20"/>
          <w:szCs w:val="20"/>
        </w:rPr>
        <w:t xml:space="preserve">January 2023 - Present</w:t>
      </w:r>
    </w:p>
    <w:p>
      <w:pPr>
        <w:spacing w:after="120" w:before="0"/>
      </w:pPr>
      <w:r>
        <w:rPr>
          <w:rFonts w:ascii="Arial" w:cs="Arial" w:eastAsia="Arial" w:hAnsi="Arial"/>
          <w:b w:val="false"/>
          <w:bCs w:val="false"/>
          <w:sz w:val="22"/>
          <w:szCs w:val="22"/>
        </w:rPr>
        <w:t xml:space="preserve">Member of the Technology and Innovation Committee. Provide oversight on Haemonetics' digital health strategy and connected device platform. Contributed to the evaluation of two technology acquisition targets.</w:t>
      </w:r>
    </w:p>
    <w:p>
      <w:pPr>
        <w:spacing w:after="120" w:before="160"/>
      </w:pPr>
      <w:r>
        <w:rPr>
          <w:rFonts w:ascii="Arial" w:cs="Arial" w:eastAsia="Arial" w:hAnsi="Arial"/>
          <w:b/>
          <w:bCs/>
          <w:sz w:val="22"/>
          <w:szCs w:val="22"/>
        </w:rPr>
        <w:t xml:space="preserve">Independent Board Director — Natus Medical (acquired by Integra LifeSciences)</w:t>
      </w:r>
    </w:p>
    <w:p>
      <w:pPr>
        <w:spacing w:after="120" w:before="0"/>
      </w:pPr>
      <w:r>
        <w:rPr>
          <w:rFonts w:ascii="Arial" w:cs="Arial" w:eastAsia="Arial" w:hAnsi="Arial"/>
          <w:b w:val="false"/>
          <w:bCs w:val="false"/>
          <w:sz w:val="20"/>
          <w:szCs w:val="20"/>
        </w:rPr>
        <w:t xml:space="preserve">June 2021 - March 2024</w:t>
      </w:r>
    </w:p>
    <w:p>
      <w:pPr>
        <w:spacing w:after="120" w:before="0"/>
      </w:pPr>
      <w:r>
        <w:rPr>
          <w:rFonts w:ascii="Arial" w:cs="Arial" w:eastAsia="Arial" w:hAnsi="Arial"/>
          <w:b w:val="false"/>
          <w:bCs w:val="false"/>
          <w:sz w:val="22"/>
          <w:szCs w:val="22"/>
        </w:rPr>
        <w:t xml:space="preserve">Member of the Audit Committee. Provided technology governance during Natus's digital transformation initiative and through the Integra LifeSciences acquisition process.</w:t>
      </w:r>
    </w:p>
    <w:p>
      <w:pPr>
        <w:pBdr>
          <w:bottom w:val="single" w:color="CCCCCC" w:sz="2"/>
        </w:pBdr>
        <w:spacing w:after="120" w:before="120"/>
      </w:pPr>
    </w:p>
    <w:p>
      <w:pPr>
        <w:spacing w:after="120" w:before="120"/>
      </w:pPr>
      <w:r>
        <w:rPr>
          <w:rFonts w:ascii="Arial" w:cs="Arial" w:eastAsia="Arial" w:hAnsi="Arial"/>
          <w:b/>
          <w:bCs/>
          <w:sz w:val="22"/>
          <w:szCs w:val="22"/>
        </w:rPr>
        <w:t xml:space="preserve">EXECUTIVE EXPERIENCE</w:t>
      </w:r>
    </w:p>
    <w:p>
      <w:pPr>
        <w:spacing w:after="120" w:before="160"/>
      </w:pPr>
      <w:r>
        <w:rPr>
          <w:rFonts w:ascii="Arial" w:cs="Arial" w:eastAsia="Arial" w:hAnsi="Arial"/>
          <w:b/>
          <w:bCs/>
          <w:sz w:val="22"/>
          <w:szCs w:val="22"/>
        </w:rPr>
        <w:t xml:space="preserve">CTO, Digital Surgery Division — Medtronic, Minneapolis, MN</w:t>
      </w:r>
    </w:p>
    <w:p>
      <w:pPr>
        <w:spacing w:after="120" w:before="0"/>
      </w:pPr>
      <w:r>
        <w:rPr>
          <w:rFonts w:ascii="Arial" w:cs="Arial" w:eastAsia="Arial" w:hAnsi="Arial"/>
          <w:b w:val="false"/>
          <w:bCs w:val="false"/>
          <w:sz w:val="20"/>
          <w:szCs w:val="20"/>
        </w:rPr>
        <w:t xml:space="preserve">January 2018 - December 2022</w:t>
      </w:r>
    </w:p>
    <w:p>
      <w:pPr>
        <w:spacing w:after="120" w:before="0"/>
      </w:pPr>
      <w:r>
        <w:rPr>
          <w:rFonts w:ascii="Arial" w:cs="Arial" w:eastAsia="Arial" w:hAnsi="Arial"/>
          <w:b w:val="false"/>
          <w:bCs w:val="false"/>
          <w:sz w:val="22"/>
          <w:szCs w:val="22"/>
        </w:rPr>
        <w:t xml:space="preserve">Led technology strategy and engineering for Medtronic's digital surgery portfolio, including the Hugo robotic-assisted surgery platform and the Touch Surgery digital ecosystem. Managed a 200-person global engineering organization across Minneapolis, London, and Hyderabad.</w:t>
      </w:r>
    </w:p>
    <w:p>
      <w:pPr>
        <w:spacing w:after="120" w:before="0"/>
      </w:pPr>
      <w:r>
        <w:rPr>
          <w:rFonts w:ascii="Arial" w:cs="Arial" w:eastAsia="Arial" w:hAnsi="Arial"/>
          <w:b w:val="false"/>
          <w:bCs w:val="false"/>
          <w:sz w:val="22"/>
          <w:szCs w:val="22"/>
        </w:rPr>
        <w:t xml:space="preserve">Built the data platform connecting surgical robots, pre-operative planning tools, and post-operative analytics — creating Medtronic's first SaaS revenue stream from a device division.</w:t>
      </w:r>
    </w:p>
    <w:p>
      <w:pPr>
        <w:spacing w:after="120" w:before="0"/>
      </w:pPr>
      <w:r>
        <w:rPr>
          <w:rFonts w:ascii="Arial" w:cs="Arial" w:eastAsia="Arial" w:hAnsi="Arial"/>
          <w:b w:val="false"/>
          <w:bCs w:val="false"/>
          <w:sz w:val="22"/>
          <w:szCs w:val="22"/>
        </w:rPr>
        <w:t xml:space="preserve">Led the technology integration of two acquisitions (Digital Surgery Ltd. and Medicrea) into the digital surgery platform.</w:t>
      </w:r>
    </w:p>
    <w:p>
      <w:pPr>
        <w:spacing w:after="120" w:before="0"/>
      </w:pPr>
      <w:r>
        <w:rPr>
          <w:rFonts w:ascii="Arial" w:cs="Arial" w:eastAsia="Arial" w:hAnsi="Arial"/>
          <w:b w:val="false"/>
          <w:bCs w:val="false"/>
          <w:sz w:val="22"/>
          <w:szCs w:val="22"/>
        </w:rPr>
        <w:t xml:space="preserve">Established Medtronic's first cloud-native development center for medical device software.</w:t>
      </w:r>
    </w:p>
    <w:p>
      <w:pPr>
        <w:spacing w:after="120" w:before="160"/>
      </w:pPr>
      <w:r>
        <w:rPr>
          <w:rFonts w:ascii="Arial" w:cs="Arial" w:eastAsia="Arial" w:hAnsi="Arial"/>
          <w:b/>
          <w:bCs/>
          <w:sz w:val="22"/>
          <w:szCs w:val="22"/>
        </w:rPr>
        <w:t xml:space="preserve">SVP of Engineering, Healthcare Informatics — Philips, Cambridge, MA</w:t>
      </w:r>
    </w:p>
    <w:p>
      <w:pPr>
        <w:spacing w:after="120" w:before="0"/>
      </w:pPr>
      <w:r>
        <w:rPr>
          <w:rFonts w:ascii="Arial" w:cs="Arial" w:eastAsia="Arial" w:hAnsi="Arial"/>
          <w:b w:val="false"/>
          <w:bCs w:val="false"/>
          <w:sz w:val="20"/>
          <w:szCs w:val="20"/>
        </w:rPr>
        <w:t xml:space="preserve">March 2012 - December 2017</w:t>
      </w:r>
    </w:p>
    <w:p>
      <w:pPr>
        <w:spacing w:after="120" w:before="0"/>
      </w:pPr>
      <w:r>
        <w:rPr>
          <w:rFonts w:ascii="Arial" w:cs="Arial" w:eastAsia="Arial" w:hAnsi="Arial"/>
          <w:b w:val="false"/>
          <w:bCs w:val="false"/>
          <w:sz w:val="22"/>
          <w:szCs w:val="22"/>
        </w:rPr>
        <w:t xml:space="preserve">Led engineering for Philips' healthcare informatics business, including clinical decision support, population health management, and patient monitoring analytics. Managed 350+ engineers.</w:t>
      </w:r>
    </w:p>
    <w:p>
      <w:pPr>
        <w:spacing w:after="120" w:before="0"/>
      </w:pPr>
      <w:r>
        <w:rPr>
          <w:rFonts w:ascii="Arial" w:cs="Arial" w:eastAsia="Arial" w:hAnsi="Arial"/>
          <w:b w:val="false"/>
          <w:bCs w:val="false"/>
          <w:sz w:val="22"/>
          <w:szCs w:val="22"/>
        </w:rPr>
        <w:t xml:space="preserve">Drove the transition from on-premise to cloud-hosted platform, achieving 60% SaaS revenue mix by 2017.</w:t>
      </w:r>
    </w:p>
    <w:p>
      <w:pPr>
        <w:spacing w:after="120" w:before="160"/>
      </w:pPr>
      <w:r>
        <w:rPr>
          <w:rFonts w:ascii="Arial" w:cs="Arial" w:eastAsia="Arial" w:hAnsi="Arial"/>
          <w:b/>
          <w:bCs/>
          <w:sz w:val="22"/>
          <w:szCs w:val="22"/>
        </w:rPr>
        <w:t xml:space="preserve">Director of Enterprise Solutions — Microsoft, Redmond, WA</w:t>
      </w:r>
    </w:p>
    <w:p>
      <w:pPr>
        <w:spacing w:after="120" w:before="0"/>
      </w:pPr>
      <w:r>
        <w:rPr>
          <w:rFonts w:ascii="Arial" w:cs="Arial" w:eastAsia="Arial" w:hAnsi="Arial"/>
          <w:b w:val="false"/>
          <w:bCs w:val="false"/>
          <w:sz w:val="20"/>
          <w:szCs w:val="20"/>
        </w:rPr>
        <w:t xml:space="preserve">June 2004 - February 2012</w:t>
      </w:r>
    </w:p>
    <w:p>
      <w:pPr>
        <w:spacing w:after="120" w:before="0"/>
      </w:pPr>
      <w:r>
        <w:rPr>
          <w:rFonts w:ascii="Arial" w:cs="Arial" w:eastAsia="Arial" w:hAnsi="Arial"/>
          <w:b w:val="false"/>
          <w:bCs w:val="false"/>
          <w:sz w:val="22"/>
          <w:szCs w:val="22"/>
        </w:rPr>
        <w:t xml:space="preserve">Led enterprise software development for Microsoft's healthcare and life sciences vertical. Managed development of HealthVault platform and healthcare-specific Azure services. Rose from Senior PM to Director.</w:t>
      </w:r>
    </w:p>
    <w:p>
      <w:pPr>
        <w:spacing w:after="120" w:before="160"/>
      </w:pPr>
      <w:r>
        <w:rPr>
          <w:rFonts w:ascii="Arial" w:cs="Arial" w:eastAsia="Arial" w:hAnsi="Arial"/>
          <w:b/>
          <w:bCs/>
          <w:sz w:val="22"/>
          <w:szCs w:val="22"/>
        </w:rPr>
        <w:t xml:space="preserve">Software Engineer then Senior Software Engineer — Microsoft, Redmond, WA</w:t>
      </w:r>
    </w:p>
    <w:p>
      <w:pPr>
        <w:spacing w:after="120" w:before="0"/>
      </w:pPr>
      <w:r>
        <w:rPr>
          <w:rFonts w:ascii="Arial" w:cs="Arial" w:eastAsia="Arial" w:hAnsi="Arial"/>
          <w:b w:val="false"/>
          <w:bCs w:val="false"/>
          <w:sz w:val="20"/>
          <w:szCs w:val="20"/>
        </w:rPr>
        <w:t xml:space="preserve">September 1998 - May 2004</w:t>
      </w:r>
    </w:p>
    <w:p>
      <w:pPr>
        <w:spacing w:after="120" w:before="0"/>
      </w:pPr>
      <w:r>
        <w:rPr>
          <w:rFonts w:ascii="Arial" w:cs="Arial" w:eastAsia="Arial" w:hAnsi="Arial"/>
          <w:b w:val="false"/>
          <w:bCs w:val="false"/>
          <w:sz w:val="22"/>
          <w:szCs w:val="22"/>
        </w:rPr>
        <w:t xml:space="preserve">Early career in enterprise platform development. Contributed to BizTalk Server and .NET Framework.</w:t>
      </w:r>
    </w:p>
    <w:p>
      <w:pPr>
        <w:pBdr>
          <w:bottom w:val="single" w:color="CCCCCC" w:sz="2"/>
        </w:pBdr>
        <w:spacing w:after="120" w:before="120"/>
      </w:pPr>
    </w:p>
    <w:p>
      <w:pPr>
        <w:spacing w:after="120" w:before="120"/>
      </w:pPr>
      <w:r>
        <w:rPr>
          <w:rFonts w:ascii="Arial" w:cs="Arial" w:eastAsia="Arial" w:hAnsi="Arial"/>
          <w:b/>
          <w:bCs/>
          <w:sz w:val="22"/>
          <w:szCs w:val="22"/>
        </w:rPr>
        <w:t xml:space="preserve">EDUCATION</w:t>
      </w:r>
    </w:p>
    <w:p>
      <w:pPr>
        <w:spacing w:after="120" w:before="60"/>
      </w:pPr>
      <w:r>
        <w:rPr>
          <w:rFonts w:ascii="Arial" w:cs="Arial" w:eastAsia="Arial" w:hAnsi="Arial"/>
          <w:b w:val="false"/>
          <w:bCs w:val="false"/>
          <w:sz w:val="22"/>
          <w:szCs w:val="22"/>
        </w:rPr>
        <w:t xml:space="preserve">MBA — INSEAD, Fontainebleau, France (2004)</w:t>
      </w:r>
    </w:p>
    <w:p>
      <w:pPr>
        <w:spacing w:after="120" w:before="0"/>
      </w:pPr>
      <w:r>
        <w:rPr>
          <w:rFonts w:ascii="Arial" w:cs="Arial" w:eastAsia="Arial" w:hAnsi="Arial"/>
          <w:b w:val="false"/>
          <w:bCs w:val="false"/>
          <w:sz w:val="22"/>
          <w:szCs w:val="22"/>
        </w:rPr>
        <w:t xml:space="preserve">MS, Computer Science — Stanford University (1998)</w:t>
      </w:r>
    </w:p>
    <w:p>
      <w:pPr>
        <w:spacing w:after="120" w:before="0"/>
      </w:pPr>
      <w:r>
        <w:rPr>
          <w:rFonts w:ascii="Arial" w:cs="Arial" w:eastAsia="Arial" w:hAnsi="Arial"/>
          <w:b w:val="false"/>
          <w:bCs w:val="false"/>
          <w:sz w:val="22"/>
          <w:szCs w:val="22"/>
        </w:rPr>
        <w:t xml:space="preserve">BS, Computer Engineering — University of Lagos, Nigeria (1996)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pPr>
    <w:rPr>
      <w:rFonts w:ascii="Arial" w:cs="Arial" w:eastAsia="Arial" w:hAnsi="Arial"/>
      <w:b/>
      <w:bCs/>
      <w:sz w:val="32"/>
      <w:szCs w:val="32"/>
    </w:rPr>
  </w:style>
  <w:style w:type="paragraph" w:styleId="Heading2">
    <w:name w:val="Heading 2"/>
    <w:basedOn w:val="Normal"/>
    <w:next w:val="Normal"/>
    <w:qFormat/>
    <w:pPr>
      <w:spacing w:after="120" w:before="20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2026-04-14T23:47:57.291Z</dcterms:created>
  <dcterms:modified xsi:type="dcterms:W3CDTF">2026-04-14T23:47:57.291Z</dcterms:modified>
</cp:coreProperties>
</file>

<file path=docProps/custom.xml><?xml version="1.0" encoding="utf-8"?>
<Properties xmlns="http://schemas.openxmlformats.org/officeDocument/2006/custom-properties" xmlns:vt="http://schemas.openxmlformats.org/officeDocument/2006/docPropsVTypes"/>
</file>