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169" w:rsidRDefault="008D3FCD" w:rsidP="008D3FCD">
      <w:pPr>
        <w:pStyle w:val="a4"/>
        <w:spacing w:line="36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Список контрольных вопросов по курсу </w:t>
      </w:r>
    </w:p>
    <w:p w:rsidR="008D3FCD" w:rsidRDefault="008D3FCD" w:rsidP="008D3FCD">
      <w:pPr>
        <w:pStyle w:val="a4"/>
        <w:spacing w:line="360" w:lineRule="auto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58575C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О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СВОЕНИЕ МОРСКИХ МЕСТОРОЖДЕНИЙ УГЛЕВОДОРОДОВ»</w:t>
      </w:r>
    </w:p>
    <w:tbl>
      <w:tblPr>
        <w:tblStyle w:val="a6"/>
        <w:tblW w:w="10349" w:type="dxa"/>
        <w:tblInd w:w="-856" w:type="dxa"/>
        <w:tblLook w:val="04A0" w:firstRow="1" w:lastRow="0" w:firstColumn="1" w:lastColumn="0" w:noHBand="0" w:noVBand="1"/>
      </w:tblPr>
      <w:tblGrid>
        <w:gridCol w:w="2825"/>
        <w:gridCol w:w="456"/>
        <w:gridCol w:w="7068"/>
      </w:tblGrid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Мировой и российский опыт освоения морских месторождений углеводородов (УВ)</w:t>
            </w: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 w:rsidRPr="001D6C5E">
              <w:rPr>
                <w:b/>
                <w:color w:val="000000"/>
              </w:rPr>
              <w:t>1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>Российский сектор Каспийского моря. Проблемы и перспективы. Месторождения им. </w:t>
            </w:r>
            <w:proofErr w:type="spellStart"/>
            <w:r w:rsidRPr="001D6C5E">
              <w:t>Ю.Корчагина</w:t>
            </w:r>
            <w:proofErr w:type="spellEnd"/>
            <w:r w:rsidRPr="001D6C5E">
              <w:t>, им. </w:t>
            </w:r>
            <w:proofErr w:type="spellStart"/>
            <w:r w:rsidRPr="001D6C5E">
              <w:t>В.Филановского</w:t>
            </w:r>
            <w:proofErr w:type="spellEnd"/>
            <w:r w:rsidRPr="001D6C5E">
              <w:t xml:space="preserve">, им. </w:t>
            </w:r>
            <w:proofErr w:type="spellStart"/>
            <w:r w:rsidRPr="001D6C5E">
              <w:t>В.Грайфера</w:t>
            </w:r>
            <w:proofErr w:type="spellEnd"/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 w:rsidRPr="001D6C5E">
              <w:rPr>
                <w:b/>
                <w:color w:val="000000"/>
              </w:rPr>
              <w:t>2</w:t>
            </w:r>
          </w:p>
        </w:tc>
        <w:tc>
          <w:tcPr>
            <w:tcW w:w="7068" w:type="dxa"/>
          </w:tcPr>
          <w:p w:rsidR="003E4E44" w:rsidRPr="0043715E" w:rsidRDefault="003E4E44" w:rsidP="00437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Регионы и страны с наибольшей добычей нефти и газа на море. Лицензионные участки и добыча нефти и газа на морских месторождениях России.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 w:rsidRPr="001D6C5E">
              <w:rPr>
                <w:b/>
                <w:color w:val="000000"/>
              </w:rPr>
              <w:t>3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>Роль морских месторождений в общем балансе добычи углеводородов в мире. Динамика роста мировой добычи нефти и газа на морских месторождениях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 w:rsidRPr="001D6C5E">
              <w:rPr>
                <w:b/>
                <w:color w:val="000000"/>
              </w:rPr>
              <w:t>4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</w:pPr>
            <w:r w:rsidRPr="001D6C5E">
              <w:t xml:space="preserve">Арктический шельф России. Перспективы и проблемы освоения арктических месторождений. Месторождения Приразломное и </w:t>
            </w:r>
            <w:proofErr w:type="spellStart"/>
            <w:r w:rsidRPr="001D6C5E">
              <w:t>Штокмановское</w:t>
            </w:r>
            <w:proofErr w:type="spellEnd"/>
          </w:p>
        </w:tc>
      </w:tr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Особенности поиска и разведки месторождений УВ на шельфе, ресурсы морских месторождений</w:t>
            </w:r>
            <w:r w:rsidRPr="001D6C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Жизненный цикл изучения и разработки месторождения УВС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Стадии первого этапа работ по изучению и освоению углеводородных ресурсов на континентальном шельфе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Стадии второго этапа работ по изучению и освоению углеводородных ресурсов на континентальном шельфе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Виды сейсморазведочных работ</w:t>
            </w:r>
          </w:p>
        </w:tc>
      </w:tr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sz w:val="24"/>
                <w:szCs w:val="24"/>
              </w:rPr>
              <w:t>Особенности разработки морских месторождений УВ</w:t>
            </w:r>
          </w:p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 xml:space="preserve">Оптимизация количества точек </w:t>
            </w:r>
            <w:proofErr w:type="spellStart"/>
            <w:r w:rsidRPr="001D6C5E">
              <w:t>разбуривания</w:t>
            </w:r>
            <w:proofErr w:type="spellEnd"/>
            <w:r w:rsidRPr="001D6C5E">
              <w:t xml:space="preserve"> скважин в зависимости от размеров морского месторождения, величины отходов скважин, типа гидротехнических сооружений и других факторов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>Критерии комплексного обустройства группы морских месторождений и перспективных структур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</w:t>
            </w:r>
          </w:p>
        </w:tc>
        <w:tc>
          <w:tcPr>
            <w:tcW w:w="7068" w:type="dxa"/>
          </w:tcPr>
          <w:p w:rsidR="003E4E44" w:rsidRPr="001D6C5E" w:rsidRDefault="003E4E44" w:rsidP="0043715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Оптимизация уровней добычи и очередности ввода </w:t>
            </w:r>
            <w:r w:rsidR="0043715E">
              <w:rPr>
                <w:rFonts w:ascii="Times New Roman" w:hAnsi="Times New Roman" w:cs="Times New Roman"/>
                <w:sz w:val="24"/>
                <w:szCs w:val="24"/>
              </w:rPr>
              <w:t xml:space="preserve">морских </w:t>
            </w: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месторождений </w:t>
            </w:r>
            <w:r w:rsidR="0043715E">
              <w:rPr>
                <w:rFonts w:ascii="Times New Roman" w:hAnsi="Times New Roman" w:cs="Times New Roman"/>
                <w:sz w:val="24"/>
                <w:szCs w:val="24"/>
              </w:rPr>
              <w:t xml:space="preserve">УВ </w:t>
            </w: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r w:rsidR="0043715E">
              <w:rPr>
                <w:rFonts w:ascii="Times New Roman" w:hAnsi="Times New Roman" w:cs="Times New Roman"/>
                <w:sz w:val="24"/>
                <w:szCs w:val="24"/>
              </w:rPr>
              <w:t xml:space="preserve">и их комплексном обустройстве 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7068" w:type="dxa"/>
          </w:tcPr>
          <w:p w:rsidR="003E4E44" w:rsidRPr="001D6C5E" w:rsidRDefault="003E4E44" w:rsidP="00437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Факторы, </w:t>
            </w:r>
            <w:r w:rsidR="0043715E">
              <w:rPr>
                <w:rFonts w:ascii="Times New Roman" w:hAnsi="Times New Roman" w:cs="Times New Roman"/>
                <w:sz w:val="24"/>
                <w:szCs w:val="24"/>
              </w:rPr>
              <w:t>учитываемые</w:t>
            </w: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 при комплексном обустройстве нефтегазовых месторождений в российском секторе Северного Каспия</w:t>
            </w:r>
          </w:p>
        </w:tc>
      </w:tr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Бурение на морских месторождениях </w:t>
            </w: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Особенности бурения на море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СПБУ. Особенности конструкции 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rPr>
                <w:color w:val="000000"/>
              </w:rPr>
              <w:t>ППБУ и БС. Особенности конструкции</w:t>
            </w:r>
          </w:p>
        </w:tc>
      </w:tr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Обустройство и эксплуатация морских месторождений </w:t>
            </w: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16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>Способы обустройства морских месторождений. Факторы влияющие на схемы обустройства и на выбор типа гидротехнических сооружений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17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>Влияние природно-климатических условий на обустройство морских месторождений. Особенности обустройства в ледовых условиях и на мелководье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Обустройства месторождений на шельфе Сахалина. Проекты Сахалин 1, Сахалин 2. Береговые сооружения и внешний транспорт нефти и газа.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обустройства </w:t>
            </w:r>
            <w:proofErr w:type="spellStart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Киринского</w:t>
            </w:r>
            <w:proofErr w:type="spellEnd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 газоконденсатного месторождения. Береговые сооружения и внешний транспорт газа.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 xml:space="preserve">Этапы и особенности обустройства прибрежных месторождений </w:t>
            </w:r>
            <w:proofErr w:type="spellStart"/>
            <w:r w:rsidRPr="001D6C5E">
              <w:t>Чайво</w:t>
            </w:r>
            <w:proofErr w:type="spellEnd"/>
            <w:r w:rsidRPr="001D6C5E">
              <w:t xml:space="preserve">, </w:t>
            </w:r>
            <w:proofErr w:type="spellStart"/>
            <w:r w:rsidRPr="001D6C5E">
              <w:t>Одопту</w:t>
            </w:r>
            <w:proofErr w:type="spellEnd"/>
            <w:r w:rsidRPr="001D6C5E">
              <w:t xml:space="preserve"> и </w:t>
            </w:r>
            <w:proofErr w:type="spellStart"/>
            <w:r w:rsidRPr="001D6C5E">
              <w:t>Аркутун-Даги</w:t>
            </w:r>
            <w:proofErr w:type="spellEnd"/>
            <w:r w:rsidRPr="001D6C5E">
              <w:t>. Береговые сооружения и внешний транспорт нефти и газа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21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</w:pPr>
            <w:r w:rsidRPr="001D6C5E">
              <w:t>Проблемы транспорта газа с удаленных от берега морских месторождений и особенности обустройства газовых месторождений на примере FLNG «</w:t>
            </w:r>
            <w:proofErr w:type="spellStart"/>
            <w:r w:rsidRPr="001D6C5E">
              <w:t>Prelude</w:t>
            </w:r>
            <w:proofErr w:type="spellEnd"/>
            <w:r w:rsidRPr="001D6C5E">
              <w:t>», «</w:t>
            </w:r>
            <w:proofErr w:type="spellStart"/>
            <w:r w:rsidRPr="001D6C5E">
              <w:t>Petronas</w:t>
            </w:r>
            <w:proofErr w:type="spellEnd"/>
            <w:r w:rsidRPr="001D6C5E">
              <w:t xml:space="preserve"> </w:t>
            </w:r>
            <w:proofErr w:type="spellStart"/>
            <w:r w:rsidRPr="001D6C5E">
              <w:t>Satu</w:t>
            </w:r>
            <w:proofErr w:type="spellEnd"/>
            <w:r w:rsidRPr="001D6C5E">
              <w:t xml:space="preserve">» и </w:t>
            </w:r>
            <w:proofErr w:type="spellStart"/>
            <w:r w:rsidRPr="001D6C5E">
              <w:t>др</w:t>
            </w:r>
            <w:proofErr w:type="spellEnd"/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Способы механизированной добычи нефти и преимущества газлифтного способа эксплуатации скважин в морских условиях.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</w:pPr>
            <w:r w:rsidRPr="001D6C5E">
              <w:t xml:space="preserve">Обустройство с использованием подводных добычных комплексов (ПДК) на примере месторождений </w:t>
            </w:r>
            <w:proofErr w:type="spellStart"/>
            <w:r w:rsidRPr="001D6C5E">
              <w:t>Киринское</w:t>
            </w:r>
            <w:proofErr w:type="spellEnd"/>
            <w:r w:rsidRPr="001D6C5E">
              <w:t xml:space="preserve"> и </w:t>
            </w:r>
            <w:proofErr w:type="spellStart"/>
            <w:r w:rsidRPr="001D6C5E">
              <w:t>Сновит</w:t>
            </w:r>
            <w:proofErr w:type="spellEnd"/>
            <w:r w:rsidRPr="001D6C5E">
              <w:t xml:space="preserve">. </w:t>
            </w:r>
            <w:proofErr w:type="spellStart"/>
            <w:r w:rsidRPr="001D6C5E">
              <w:t>Шлангокабель</w:t>
            </w:r>
            <w:proofErr w:type="spellEnd"/>
            <w:r w:rsidRPr="001D6C5E">
              <w:t xml:space="preserve"> для подводных систем добычи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Обустройство морских месторождений с использованием искусственных островов, кессонов, островов из льда. Преимущества и недостатки искусственных островов.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Эксплуатация месторождения </w:t>
            </w:r>
            <w:proofErr w:type="spellStart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Асгард</w:t>
            </w:r>
            <w:proofErr w:type="spellEnd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 с использованием подводной компрессорной станции. Преимущества размещения компрессорной станции на дне моря рядом с устьями скважин.</w:t>
            </w:r>
          </w:p>
        </w:tc>
      </w:tr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Морские нефтегазопромысловые инженерные сооружения</w:t>
            </w: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>Факторы влияющие на схемы обустройства морских месторождений и конструкцию гидротехнических сооружений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27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Морские </w:t>
            </w:r>
            <w:proofErr w:type="spellStart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ледостойкие</w:t>
            </w:r>
            <w:proofErr w:type="spellEnd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 стационарные платформы гравитационного и свайного типов.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28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Преимущества колонных опорных блоков в сравнении с опорами кессонного типа. Особенности постановки колонных блоков на глубинах менее 10 м.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Выносные точечные причалы, морские перегрузочные комплексы, </w:t>
            </w:r>
            <w:proofErr w:type="spellStart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Варандейский</w:t>
            </w:r>
            <w:proofErr w:type="spellEnd"/>
            <w:r w:rsidRPr="001D6C5E">
              <w:rPr>
                <w:rFonts w:ascii="Times New Roman" w:hAnsi="Times New Roman" w:cs="Times New Roman"/>
                <w:sz w:val="24"/>
                <w:szCs w:val="24"/>
              </w:rPr>
              <w:t xml:space="preserve"> отгрузочный терминал (проекты на шельфе Сахалина, Каспийском и Баренцевом морях).</w:t>
            </w:r>
          </w:p>
        </w:tc>
      </w:tr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rPr>
                <w:b/>
                <w:color w:val="000000"/>
              </w:rPr>
              <w:t>Нормативная база проектирования, планирования, организации работ на шельфе</w:t>
            </w: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Законы РФ, определяющие правила освоения шельфа</w:t>
            </w:r>
          </w:p>
        </w:tc>
      </w:tr>
      <w:tr w:rsidR="003E4E44" w:rsidRPr="001D6C5E" w:rsidTr="003E4E44">
        <w:trPr>
          <w:trHeight w:val="840"/>
        </w:trPr>
        <w:tc>
          <w:tcPr>
            <w:tcW w:w="2825" w:type="dxa"/>
            <w:vMerge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31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Технические регламенты России и Евразийского Союза. Их связь с реализацией проекта освоения шельфовых месторождений. 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32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Ведущие международные, международно-признанные и национальные организации (системы) по стандартизации в нефтегазовом комплексе.</w:t>
            </w:r>
          </w:p>
        </w:tc>
      </w:tr>
      <w:tr w:rsidR="003E4E44" w:rsidRPr="001D6C5E" w:rsidTr="003E4E44">
        <w:trPr>
          <w:trHeight w:val="425"/>
        </w:trPr>
        <w:tc>
          <w:tcPr>
            <w:tcW w:w="2825" w:type="dxa"/>
            <w:vMerge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Особенности применения международных стандартов в России</w:t>
            </w:r>
          </w:p>
        </w:tc>
      </w:tr>
      <w:tr w:rsidR="003E4E44" w:rsidRPr="001D6C5E" w:rsidTr="003E4E44">
        <w:tc>
          <w:tcPr>
            <w:tcW w:w="2825" w:type="dxa"/>
            <w:vMerge w:val="restart"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Техника и технология подводной добычи УВ </w:t>
            </w: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Основное оборудование ПДК. Основные отличия вертикальных и горизонтальных фонтанных арматур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pStyle w:val="a3"/>
              <w:ind w:left="0"/>
              <w:rPr>
                <w:b/>
                <w:color w:val="000000"/>
              </w:rPr>
            </w:pPr>
            <w:r w:rsidRPr="001D6C5E">
              <w:t>Основные проблемы применения ПДК в замерзающих акваториях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36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Способы кустования подводных скважин. Варианты обустройства месторождений с применением ПДК (по точкам подключения).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3E4E44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37</w:t>
            </w:r>
          </w:p>
        </w:tc>
        <w:tc>
          <w:tcPr>
            <w:tcW w:w="7068" w:type="dxa"/>
          </w:tcPr>
          <w:p w:rsidR="003E4E44" w:rsidRPr="001D6C5E" w:rsidRDefault="003E4E44" w:rsidP="007B70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sz w:val="24"/>
                <w:szCs w:val="24"/>
              </w:rPr>
              <w:t>Типы подводных роботов для освоения месторождений шельфа. Основной функционал и выполняемые работы</w:t>
            </w:r>
          </w:p>
        </w:tc>
      </w:tr>
      <w:tr w:rsidR="0046402E" w:rsidRPr="001D6C5E" w:rsidTr="003E4E44">
        <w:trPr>
          <w:trHeight w:val="58"/>
        </w:trPr>
        <w:tc>
          <w:tcPr>
            <w:tcW w:w="2825" w:type="dxa"/>
            <w:vMerge w:val="restart"/>
          </w:tcPr>
          <w:p w:rsidR="0046402E" w:rsidRPr="001D6C5E" w:rsidRDefault="0046402E" w:rsidP="0046402E">
            <w:pPr>
              <w:contextualSpacing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Хранение и транспортировка добываемой продукции на шельфе </w:t>
            </w:r>
          </w:p>
        </w:tc>
        <w:tc>
          <w:tcPr>
            <w:tcW w:w="456" w:type="dxa"/>
          </w:tcPr>
          <w:p w:rsidR="0046402E" w:rsidRPr="001D6C5E" w:rsidRDefault="0046402E" w:rsidP="0046402E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w="7068" w:type="dxa"/>
          </w:tcPr>
          <w:p w:rsidR="0046402E" w:rsidRPr="001D6C5E" w:rsidRDefault="0046402E" w:rsidP="0046402E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6C5E">
              <w:rPr>
                <w:bCs/>
              </w:rPr>
              <w:t xml:space="preserve">Проблемы обеспечения бесперебойного течения углеводородных флюидов по </w:t>
            </w:r>
            <w:proofErr w:type="spellStart"/>
            <w:r w:rsidRPr="001D6C5E">
              <w:rPr>
                <w:bCs/>
              </w:rPr>
              <w:t>внутрипромысловым</w:t>
            </w:r>
            <w:proofErr w:type="spellEnd"/>
            <w:r w:rsidRPr="001D6C5E">
              <w:rPr>
                <w:bCs/>
              </w:rPr>
              <w:t xml:space="preserve"> трубопроводам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46402E" w:rsidRPr="001D6C5E" w:rsidTr="003E4E44">
        <w:trPr>
          <w:trHeight w:val="58"/>
        </w:trPr>
        <w:tc>
          <w:tcPr>
            <w:tcW w:w="2825" w:type="dxa"/>
            <w:vMerge/>
          </w:tcPr>
          <w:p w:rsidR="0046402E" w:rsidRPr="001D6C5E" w:rsidRDefault="0046402E" w:rsidP="0046402E">
            <w:pPr>
              <w:contextualSpacing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46402E" w:rsidRPr="001D6C5E" w:rsidRDefault="0046402E" w:rsidP="0046402E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39</w:t>
            </w:r>
          </w:p>
        </w:tc>
        <w:tc>
          <w:tcPr>
            <w:tcW w:w="7068" w:type="dxa"/>
          </w:tcPr>
          <w:p w:rsidR="0046402E" w:rsidRPr="001D6C5E" w:rsidRDefault="0046402E" w:rsidP="0046402E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Cs/>
                <w:sz w:val="24"/>
                <w:szCs w:val="24"/>
              </w:rPr>
              <w:t>Морская транспортно-технологическая система вывоза нефти с морских месторождений (на примере Пильтун-</w:t>
            </w:r>
            <w:proofErr w:type="spellStart"/>
            <w:r w:rsidRPr="001D6C5E">
              <w:rPr>
                <w:rFonts w:ascii="Times New Roman" w:hAnsi="Times New Roman" w:cs="Times New Roman"/>
                <w:bCs/>
                <w:sz w:val="24"/>
                <w:szCs w:val="24"/>
              </w:rPr>
              <w:t>Астохского</w:t>
            </w:r>
            <w:proofErr w:type="spellEnd"/>
            <w:r w:rsidRPr="001D6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месторождения, Сахалин-2) </w:t>
            </w:r>
          </w:p>
        </w:tc>
      </w:tr>
      <w:tr w:rsidR="0046402E" w:rsidRPr="001D6C5E" w:rsidTr="003E4E44">
        <w:tc>
          <w:tcPr>
            <w:tcW w:w="2825" w:type="dxa"/>
            <w:vMerge/>
          </w:tcPr>
          <w:p w:rsidR="0046402E" w:rsidRPr="001D6C5E" w:rsidRDefault="0046402E" w:rsidP="0046402E">
            <w:pPr>
              <w:contextualSpacing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46402E" w:rsidRPr="001D6C5E" w:rsidRDefault="0046402E" w:rsidP="0046402E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w="7068" w:type="dxa"/>
          </w:tcPr>
          <w:p w:rsidR="0046402E" w:rsidRPr="001D6C5E" w:rsidRDefault="0046402E" w:rsidP="0046402E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Методы транспортировки высоковязких </w:t>
            </w:r>
            <w:proofErr w:type="spellStart"/>
            <w:r w:rsidRPr="001D6C5E">
              <w:rPr>
                <w:rFonts w:ascii="Times New Roman" w:hAnsi="Times New Roman" w:cs="Times New Roman"/>
                <w:bCs/>
                <w:sz w:val="24"/>
                <w:szCs w:val="24"/>
              </w:rPr>
              <w:t>парафинистых</w:t>
            </w:r>
            <w:proofErr w:type="spellEnd"/>
            <w:r w:rsidRPr="001D6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D6C5E">
              <w:rPr>
                <w:rFonts w:ascii="Times New Roman" w:hAnsi="Times New Roman" w:cs="Times New Roman"/>
                <w:bCs/>
                <w:sz w:val="24"/>
                <w:szCs w:val="24"/>
              </w:rPr>
              <w:t>нефтей</w:t>
            </w:r>
            <w:proofErr w:type="spellEnd"/>
          </w:p>
        </w:tc>
      </w:tr>
      <w:tr w:rsidR="0046402E" w:rsidRPr="001D6C5E" w:rsidTr="003E4E44">
        <w:tc>
          <w:tcPr>
            <w:tcW w:w="2825" w:type="dxa"/>
            <w:vMerge/>
          </w:tcPr>
          <w:p w:rsidR="0046402E" w:rsidRPr="001D6C5E" w:rsidRDefault="0046402E" w:rsidP="0046402E">
            <w:pPr>
              <w:contextualSpacing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46402E" w:rsidRPr="001D6C5E" w:rsidRDefault="0046402E" w:rsidP="0046402E">
            <w:pPr>
              <w:pStyle w:val="a3"/>
              <w:ind w:left="0"/>
              <w:jc w:val="center"/>
              <w:rPr>
                <w:b/>
                <w:color w:val="000000"/>
              </w:rPr>
            </w:pPr>
            <w:r w:rsidRPr="001D6C5E">
              <w:rPr>
                <w:b/>
                <w:color w:val="000000"/>
              </w:rPr>
              <w:t>4</w:t>
            </w:r>
            <w:r>
              <w:rPr>
                <w:b/>
                <w:color w:val="000000"/>
              </w:rPr>
              <w:t>1</w:t>
            </w:r>
          </w:p>
        </w:tc>
        <w:tc>
          <w:tcPr>
            <w:tcW w:w="7068" w:type="dxa"/>
          </w:tcPr>
          <w:p w:rsidR="0046402E" w:rsidRPr="001D6C5E" w:rsidRDefault="0046402E" w:rsidP="0046402E">
            <w:pPr>
              <w:pStyle w:val="a3"/>
              <w:numPr>
                <w:ilvl w:val="0"/>
                <w:numId w:val="1"/>
              </w:numPr>
              <w:shd w:val="clear" w:color="auto" w:fill="FFFFFF"/>
              <w:ind w:left="0"/>
            </w:pPr>
            <w:r w:rsidRPr="001D6C5E">
              <w:rPr>
                <w:bCs/>
              </w:rPr>
              <w:t xml:space="preserve">Варианты пересечения морскими трубопроводами береговой линии </w:t>
            </w:r>
          </w:p>
        </w:tc>
      </w:tr>
      <w:tr w:rsidR="0046402E" w:rsidRPr="001D6C5E" w:rsidTr="003E4E44">
        <w:tc>
          <w:tcPr>
            <w:tcW w:w="2825" w:type="dxa"/>
            <w:vMerge/>
          </w:tcPr>
          <w:p w:rsidR="0046402E" w:rsidRPr="001D6C5E" w:rsidRDefault="0046402E" w:rsidP="0046402E">
            <w:pPr>
              <w:contextualSpacing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46402E" w:rsidRPr="001D6C5E" w:rsidRDefault="0046402E" w:rsidP="0046402E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42</w:t>
            </w:r>
          </w:p>
        </w:tc>
        <w:tc>
          <w:tcPr>
            <w:tcW w:w="7068" w:type="dxa"/>
          </w:tcPr>
          <w:p w:rsidR="0046402E" w:rsidRPr="001D6C5E" w:rsidRDefault="0046402E" w:rsidP="0046402E">
            <w:pPr>
              <w:pStyle w:val="a3"/>
              <w:numPr>
                <w:ilvl w:val="0"/>
                <w:numId w:val="1"/>
              </w:numPr>
              <w:shd w:val="clear" w:color="auto" w:fill="FFFFFF"/>
              <w:ind w:left="0"/>
            </w:pPr>
            <w:r>
              <w:rPr>
                <w:bCs/>
              </w:rPr>
              <w:t>Принципы выбора способа транспортировки с морских месторождений УВ</w:t>
            </w:r>
            <w:bookmarkStart w:id="0" w:name="_GoBack"/>
            <w:bookmarkEnd w:id="0"/>
          </w:p>
        </w:tc>
      </w:tr>
      <w:tr w:rsidR="0046402E" w:rsidRPr="001D6C5E" w:rsidTr="003E4E44">
        <w:tc>
          <w:tcPr>
            <w:tcW w:w="2825" w:type="dxa"/>
            <w:vMerge w:val="restart"/>
          </w:tcPr>
          <w:p w:rsidR="0046402E" w:rsidRPr="001D6C5E" w:rsidRDefault="0046402E" w:rsidP="0046402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D6C5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Инженерное обеспечение работ на шельфе</w:t>
            </w:r>
          </w:p>
        </w:tc>
        <w:tc>
          <w:tcPr>
            <w:tcW w:w="456" w:type="dxa"/>
          </w:tcPr>
          <w:p w:rsidR="0046402E" w:rsidRPr="001D6C5E" w:rsidRDefault="0046402E" w:rsidP="0046402E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43</w:t>
            </w:r>
          </w:p>
        </w:tc>
        <w:tc>
          <w:tcPr>
            <w:tcW w:w="7068" w:type="dxa"/>
          </w:tcPr>
          <w:p w:rsidR="0046402E" w:rsidRPr="001D6C5E" w:rsidRDefault="0046402E" w:rsidP="0046402E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1D6C5E">
              <w:rPr>
                <w:rFonts w:ascii="Times New Roman" w:hAnsi="Times New Roman" w:cs="Times New Roman"/>
                <w:bCs/>
                <w:color w:val="auto"/>
              </w:rPr>
              <w:t>Системы обеспечения объектов обустройства морских нефтегазовых месторождений</w:t>
            </w:r>
          </w:p>
        </w:tc>
      </w:tr>
      <w:tr w:rsidR="0046402E" w:rsidRPr="001D6C5E" w:rsidTr="003E4E44">
        <w:tc>
          <w:tcPr>
            <w:tcW w:w="2825" w:type="dxa"/>
            <w:vMerge/>
          </w:tcPr>
          <w:p w:rsidR="0046402E" w:rsidRPr="001D6C5E" w:rsidRDefault="0046402E" w:rsidP="0046402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46402E" w:rsidRPr="001D6C5E" w:rsidRDefault="0046402E" w:rsidP="0046402E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44</w:t>
            </w:r>
          </w:p>
        </w:tc>
        <w:tc>
          <w:tcPr>
            <w:tcW w:w="7068" w:type="dxa"/>
          </w:tcPr>
          <w:p w:rsidR="0046402E" w:rsidRPr="001D6C5E" w:rsidRDefault="0046402E" w:rsidP="0046402E">
            <w:pPr>
              <w:pStyle w:val="a3"/>
              <w:ind w:left="0"/>
            </w:pPr>
            <w:r w:rsidRPr="001D6C5E">
              <w:t>Нефтегазопромысловый флот.</w:t>
            </w:r>
          </w:p>
        </w:tc>
      </w:tr>
      <w:tr w:rsidR="003E4E44" w:rsidRPr="001D6C5E" w:rsidTr="003E4E44">
        <w:tc>
          <w:tcPr>
            <w:tcW w:w="2825" w:type="dxa"/>
            <w:vMerge/>
          </w:tcPr>
          <w:p w:rsidR="003E4E44" w:rsidRPr="001D6C5E" w:rsidRDefault="003E4E44" w:rsidP="007B70E3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dxa"/>
          </w:tcPr>
          <w:p w:rsidR="003E4E44" w:rsidRPr="001D6C5E" w:rsidRDefault="0046402E" w:rsidP="007B70E3">
            <w:pPr>
              <w:pStyle w:val="a3"/>
              <w:ind w:left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w="7068" w:type="dxa"/>
          </w:tcPr>
          <w:p w:rsidR="003E4E44" w:rsidRPr="001D6C5E" w:rsidRDefault="00BA5C35" w:rsidP="007B70E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Условия проведения морских операций</w:t>
            </w:r>
          </w:p>
        </w:tc>
      </w:tr>
    </w:tbl>
    <w:p w:rsidR="008D3FCD" w:rsidRDefault="008D3FCD"/>
    <w:p w:rsidR="00AA7FEC" w:rsidRDefault="00AA7FEC"/>
    <w:p w:rsidR="00AA7FEC" w:rsidRDefault="00AA7FEC"/>
    <w:p w:rsidR="00AA7FEC" w:rsidRDefault="00AA7FEC"/>
    <w:sectPr w:rsidR="00AA7FEC" w:rsidSect="007B70E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73CB4"/>
    <w:multiLevelType w:val="hybridMultilevel"/>
    <w:tmpl w:val="7D12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9430D"/>
    <w:multiLevelType w:val="hybridMultilevel"/>
    <w:tmpl w:val="68702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647A4"/>
    <w:multiLevelType w:val="hybridMultilevel"/>
    <w:tmpl w:val="9F24B8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A22DE4"/>
    <w:multiLevelType w:val="multilevel"/>
    <w:tmpl w:val="7348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00BD8"/>
    <w:multiLevelType w:val="multilevel"/>
    <w:tmpl w:val="1B32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9730A6"/>
    <w:multiLevelType w:val="multilevel"/>
    <w:tmpl w:val="0D96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6428AD"/>
    <w:multiLevelType w:val="hybridMultilevel"/>
    <w:tmpl w:val="7E20F3DE"/>
    <w:lvl w:ilvl="0" w:tplc="0409000F">
      <w:start w:val="1"/>
      <w:numFmt w:val="decimal"/>
      <w:lvlText w:val="%1."/>
      <w:lvlJc w:val="left"/>
      <w:pPr>
        <w:ind w:left="2302" w:hanging="360"/>
      </w:pPr>
    </w:lvl>
    <w:lvl w:ilvl="1" w:tplc="04090019" w:tentative="1">
      <w:start w:val="1"/>
      <w:numFmt w:val="lowerLetter"/>
      <w:lvlText w:val="%2."/>
      <w:lvlJc w:val="left"/>
      <w:pPr>
        <w:ind w:left="3022" w:hanging="360"/>
      </w:pPr>
    </w:lvl>
    <w:lvl w:ilvl="2" w:tplc="0409001B" w:tentative="1">
      <w:start w:val="1"/>
      <w:numFmt w:val="lowerRoman"/>
      <w:lvlText w:val="%3."/>
      <w:lvlJc w:val="right"/>
      <w:pPr>
        <w:ind w:left="3742" w:hanging="180"/>
      </w:pPr>
    </w:lvl>
    <w:lvl w:ilvl="3" w:tplc="0409000F" w:tentative="1">
      <w:start w:val="1"/>
      <w:numFmt w:val="decimal"/>
      <w:lvlText w:val="%4."/>
      <w:lvlJc w:val="left"/>
      <w:pPr>
        <w:ind w:left="4462" w:hanging="360"/>
      </w:pPr>
    </w:lvl>
    <w:lvl w:ilvl="4" w:tplc="04090019" w:tentative="1">
      <w:start w:val="1"/>
      <w:numFmt w:val="lowerLetter"/>
      <w:lvlText w:val="%5."/>
      <w:lvlJc w:val="left"/>
      <w:pPr>
        <w:ind w:left="5182" w:hanging="360"/>
      </w:pPr>
    </w:lvl>
    <w:lvl w:ilvl="5" w:tplc="0409001B" w:tentative="1">
      <w:start w:val="1"/>
      <w:numFmt w:val="lowerRoman"/>
      <w:lvlText w:val="%6."/>
      <w:lvlJc w:val="right"/>
      <w:pPr>
        <w:ind w:left="5902" w:hanging="180"/>
      </w:pPr>
    </w:lvl>
    <w:lvl w:ilvl="6" w:tplc="0409000F" w:tentative="1">
      <w:start w:val="1"/>
      <w:numFmt w:val="decimal"/>
      <w:lvlText w:val="%7."/>
      <w:lvlJc w:val="left"/>
      <w:pPr>
        <w:ind w:left="6622" w:hanging="360"/>
      </w:pPr>
    </w:lvl>
    <w:lvl w:ilvl="7" w:tplc="04090019" w:tentative="1">
      <w:start w:val="1"/>
      <w:numFmt w:val="lowerLetter"/>
      <w:lvlText w:val="%8."/>
      <w:lvlJc w:val="left"/>
      <w:pPr>
        <w:ind w:left="7342" w:hanging="360"/>
      </w:pPr>
    </w:lvl>
    <w:lvl w:ilvl="8" w:tplc="0409001B" w:tentative="1">
      <w:start w:val="1"/>
      <w:numFmt w:val="lowerRoman"/>
      <w:lvlText w:val="%9."/>
      <w:lvlJc w:val="right"/>
      <w:pPr>
        <w:ind w:left="8062" w:hanging="180"/>
      </w:pPr>
    </w:lvl>
  </w:abstractNum>
  <w:abstractNum w:abstractNumId="7" w15:restartNumberingAfterBreak="0">
    <w:nsid w:val="70A95F6C"/>
    <w:multiLevelType w:val="multilevel"/>
    <w:tmpl w:val="08B4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EFF"/>
    <w:rsid w:val="00070CC5"/>
    <w:rsid w:val="000F40B6"/>
    <w:rsid w:val="001D6C5E"/>
    <w:rsid w:val="00370B4D"/>
    <w:rsid w:val="003E4E44"/>
    <w:rsid w:val="0043715E"/>
    <w:rsid w:val="0046402E"/>
    <w:rsid w:val="004F4169"/>
    <w:rsid w:val="00585516"/>
    <w:rsid w:val="007B70E3"/>
    <w:rsid w:val="007F0895"/>
    <w:rsid w:val="008D3FCD"/>
    <w:rsid w:val="00912414"/>
    <w:rsid w:val="00972970"/>
    <w:rsid w:val="009A5F07"/>
    <w:rsid w:val="00AA7FEC"/>
    <w:rsid w:val="00BA5C35"/>
    <w:rsid w:val="00F40EFF"/>
    <w:rsid w:val="00F8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4AEAE"/>
  <w15:chartTrackingRefBased/>
  <w15:docId w15:val="{B7BD96AF-D3D1-44CB-B381-E2C9225B0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FC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8D3FC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rsid w:val="008D3FCD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8D3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551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shelf</dc:creator>
  <cp:keywords/>
  <dc:description/>
  <cp:lastModifiedBy>User</cp:lastModifiedBy>
  <cp:revision>6</cp:revision>
  <dcterms:created xsi:type="dcterms:W3CDTF">2025-04-06T10:20:00Z</dcterms:created>
  <dcterms:modified xsi:type="dcterms:W3CDTF">2026-04-08T13:04:00Z</dcterms:modified>
</cp:coreProperties>
</file>