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0" w:line="480" w:lineRule="auto"/>
        <w:jc w:val="left"/>
      </w:pPr>
      <w:r>
        <w:rPr>
          <w:b/>
        </w:rPr>
        <w:t xml:space="preserve">Table 1</w:t>
      </w:r>
    </w:p>
    <w:p>
      <w:pPr>
        <w:keepNext/>
        <w:spacing w:before="0" w:after="0" w:line="480" w:lineRule="auto"/>
        <w:jc w:val="left"/>
      </w:pPr>
      <w:r>
        <w:rPr>
          <w:i/>
        </w:rPr>
        <w:t xml:space="preserve">Descriptive Statistics and Group Comparisons for Study Variables</w:t>
      </w:r>
    </w:p>
    <w:tbl>
      <w:tblPr>
        <w:tblW w:w="9024" w:type="dxa"/>
        <w:tblLayout w:type="fixed"/>
        <w:tblCellMar>
          <w:left w:w="108" w:type="dxa"/>
          <w:right w:w="108" w:type="dxa"/>
        </w:tblCellMar>
      </w:tblPr>
      <w:tblGrid>
        <w:gridCol w:w="2114"/>
        <w:gridCol w:w="1178"/>
        <w:gridCol w:w="1256"/>
        <w:gridCol w:w="1408"/>
        <w:gridCol w:w="1486"/>
        <w:gridCol w:w="791"/>
        <w:gridCol w:w="791"/>
      </w:tblGrid>
      <w:tr>
        <w:trPr>
          <w:cantSplit/>
          <w:tblHeader/>
        </w:trPr>
        <w:tc>
          <w:tcPr>
            <w:tcW w:w="2114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left"/>
            </w:pPr>
            <w:r>
              <w:t xml:space="preserve">Variable</w:t>
            </w:r>
          </w:p>
        </w:tc>
        <w:tc>
          <w:tcPr>
            <w:tcW w:w="1178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Control </w:t>
            </w:r>
            <w:r>
              <w:rPr>
                <w:i/>
              </w:rPr>
              <w:t xml:space="preserve">M</w:t>
            </w:r>
          </w:p>
        </w:tc>
        <w:tc>
          <w:tcPr>
            <w:tcW w:w="1256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Control </w:t>
            </w:r>
            <w:r>
              <w:rPr>
                <w:i/>
              </w:rPr>
              <w:t xml:space="preserve">SD</w:t>
            </w:r>
          </w:p>
        </w:tc>
        <w:tc>
          <w:tcPr>
            <w:tcW w:w="1408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Treatment </w:t>
            </w:r>
            <w:r>
              <w:rPr>
                <w:i/>
              </w:rPr>
              <w:t xml:space="preserve">M</w:t>
            </w:r>
          </w:p>
        </w:tc>
        <w:tc>
          <w:tcPr>
            <w:tcW w:w="1486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Treatment </w:t>
            </w:r>
            <w:r>
              <w:rPr>
                <w:i/>
              </w:rPr>
              <w:t xml:space="preserve">SD</w:t>
            </w:r>
          </w:p>
        </w:tc>
        <w:tc>
          <w:tcPr>
            <w:tcW w:w="791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rPr>
                <w:i/>
              </w:rPr>
              <w:t xml:space="preserve">t</w:t>
            </w:r>
          </w:p>
        </w:tc>
        <w:tc>
          <w:tcPr>
            <w:tcW w:w="791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rPr>
                <w:i/>
              </w:rPr>
              <w:t xml:space="preserve">p</w:t>
            </w:r>
          </w:p>
        </w:tc>
      </w:tr>
      <w:tr>
        <w:trPr>
          <w:cantSplit/>
        </w:trPr>
        <w:tc>
          <w:tcPr>
            <w:tcW w:w="2114" w:type="dxa"/>
            <w:tcBorders/>
            <w:vAlign w:val="bottom"/>
          </w:tcPr>
          <w:p>
            <w:pPr>
              <w:spacing w:before="40" w:after="40" w:line="360" w:lineRule="auto"/>
              <w:jc w:val="left"/>
            </w:pPr>
            <w:r>
              <w:t xml:space="preserve">Age (years)</w:t>
            </w:r>
          </w:p>
        </w:tc>
        <w:tc>
          <w:tcPr>
            <w:tcW w:w="1178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24.8</w:t>
            </w:r>
          </w:p>
        </w:tc>
        <w:tc>
          <w:tcPr>
            <w:tcW w:w="1256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3.9</w:t>
            </w:r>
          </w:p>
        </w:tc>
        <w:tc>
          <w:tcPr>
            <w:tcW w:w="1408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25.1</w:t>
            </w:r>
          </w:p>
        </w:tc>
        <w:tc>
          <w:tcPr>
            <w:tcW w:w="1486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4.2</w:t>
            </w:r>
          </w:p>
        </w:tc>
        <w:tc>
          <w:tcPr>
            <w:tcW w:w="791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-0.41</w:t>
            </w:r>
          </w:p>
        </w:tc>
        <w:tc>
          <w:tcPr>
            <w:tcW w:w="791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.682</w:t>
            </w:r>
          </w:p>
        </w:tc>
      </w:tr>
      <w:tr>
        <w:trPr>
          <w:cantSplit/>
        </w:trPr>
        <w:tc>
          <w:tcPr>
            <w:tcW w:w="2114" w:type="dxa"/>
            <w:tcBorders/>
            <w:vAlign w:val="bottom"/>
          </w:tcPr>
          <w:p>
            <w:pPr>
              <w:spacing w:before="40" w:after="40" w:line="360" w:lineRule="auto"/>
              <w:jc w:val="left"/>
            </w:pPr>
            <w:r>
              <w:t xml:space="preserve">Anxiety, pre-test</w:t>
            </w:r>
          </w:p>
        </w:tc>
        <w:tc>
          <w:tcPr>
            <w:tcW w:w="1178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18.4</w:t>
            </w:r>
          </w:p>
        </w:tc>
        <w:tc>
          <w:tcPr>
            <w:tcW w:w="1256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5.1</w:t>
            </w:r>
          </w:p>
        </w:tc>
        <w:tc>
          <w:tcPr>
            <w:tcW w:w="1408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18.9</w:t>
            </w:r>
          </w:p>
        </w:tc>
        <w:tc>
          <w:tcPr>
            <w:tcW w:w="1486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4.8</w:t>
            </w:r>
          </w:p>
        </w:tc>
        <w:tc>
          <w:tcPr>
            <w:tcW w:w="791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-0.55</w:t>
            </w:r>
          </w:p>
        </w:tc>
        <w:tc>
          <w:tcPr>
            <w:tcW w:w="791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.583</w:t>
            </w:r>
          </w:p>
        </w:tc>
      </w:tr>
      <w:tr>
        <w:trPr>
          <w:cantSplit/>
        </w:trPr>
        <w:tc>
          <w:tcPr>
            <w:tcW w:w="2114" w:type="dxa"/>
            <w:tcBorders/>
            <w:vAlign w:val="bottom"/>
          </w:tcPr>
          <w:p>
            <w:pPr>
              <w:spacing w:before="40" w:after="40" w:line="360" w:lineRule="auto"/>
              <w:jc w:val="left"/>
            </w:pPr>
            <w:r>
              <w:t xml:space="preserve">Anxiety, post-test</w:t>
            </w:r>
          </w:p>
        </w:tc>
        <w:tc>
          <w:tcPr>
            <w:tcW w:w="1178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17.9</w:t>
            </w:r>
          </w:p>
        </w:tc>
        <w:tc>
          <w:tcPr>
            <w:tcW w:w="1256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5.3</w:t>
            </w:r>
          </w:p>
        </w:tc>
        <w:tc>
          <w:tcPr>
            <w:tcW w:w="1408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12.6</w:t>
            </w:r>
          </w:p>
        </w:tc>
        <w:tc>
          <w:tcPr>
            <w:tcW w:w="1486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4.9</w:t>
            </w:r>
          </w:p>
        </w:tc>
        <w:tc>
          <w:tcPr>
            <w:tcW w:w="791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5.74</w:t>
            </w:r>
          </w:p>
        </w:tc>
        <w:tc>
          <w:tcPr>
            <w:tcW w:w="791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&lt;.001</w:t>
            </w:r>
          </w:p>
        </w:tc>
      </w:tr>
      <w:tr>
        <w:trPr>
          <w:cantSplit/>
        </w:trPr>
        <w:tc>
          <w:tcPr>
            <w:tcW w:w="2114" w:type="dxa"/>
            <w:tcBorders/>
            <w:vAlign w:val="bottom"/>
          </w:tcPr>
          <w:p>
            <w:pPr>
              <w:spacing w:before="40" w:after="40" w:line="360" w:lineRule="auto"/>
              <w:jc w:val="left"/>
            </w:pPr>
            <w:r>
              <w:t xml:space="preserve">Sleep quality</w:t>
            </w:r>
          </w:p>
        </w:tc>
        <w:tc>
          <w:tcPr>
            <w:tcW w:w="1178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5.2</w:t>
            </w:r>
          </w:p>
        </w:tc>
        <w:tc>
          <w:tcPr>
            <w:tcW w:w="1256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1.8</w:t>
            </w:r>
          </w:p>
        </w:tc>
        <w:tc>
          <w:tcPr>
            <w:tcW w:w="1408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6.7</w:t>
            </w:r>
          </w:p>
        </w:tc>
        <w:tc>
          <w:tcPr>
            <w:tcW w:w="1486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1.6</w:t>
            </w:r>
          </w:p>
        </w:tc>
        <w:tc>
          <w:tcPr>
            <w:tcW w:w="791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-4.78</w:t>
            </w:r>
          </w:p>
        </w:tc>
        <w:tc>
          <w:tcPr>
            <w:tcW w:w="791" w:type="dxa"/>
            <w:tcBorders/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&lt;.001</w:t>
            </w:r>
          </w:p>
        </w:tc>
      </w:tr>
      <w:tr>
        <w:trPr>
          <w:cantSplit/>
        </w:trPr>
        <w:tc>
          <w:tcPr>
            <w:tcW w:w="2114" w:type="dxa"/>
            <w:tcBorders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left"/>
            </w:pPr>
            <w:r>
              <w:t xml:space="preserve">Study hours per week</w:t>
            </w:r>
          </w:p>
        </w:tc>
        <w:tc>
          <w:tcPr>
            <w:tcW w:w="1178" w:type="dxa"/>
            <w:tcBorders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11.3</w:t>
            </w:r>
          </w:p>
        </w:tc>
        <w:tc>
          <w:tcPr>
            <w:tcW w:w="1256" w:type="dxa"/>
            <w:tcBorders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4.4</w:t>
            </w:r>
          </w:p>
        </w:tc>
        <w:tc>
          <w:tcPr>
            <w:tcW w:w="1408" w:type="dxa"/>
            <w:tcBorders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12.0</w:t>
            </w:r>
          </w:p>
        </w:tc>
        <w:tc>
          <w:tcPr>
            <w:tcW w:w="1486" w:type="dxa"/>
            <w:tcBorders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4.1</w:t>
            </w:r>
          </w:p>
        </w:tc>
        <w:tc>
          <w:tcPr>
            <w:tcW w:w="791" w:type="dxa"/>
            <w:tcBorders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-0.89</w:t>
            </w:r>
          </w:p>
        </w:tc>
        <w:tc>
          <w:tcPr>
            <w:tcW w:w="791" w:type="dxa"/>
            <w:tcBorders>
              <w:bottom w:val="single" w:sz="12" w:space="0" w:color="000000"/>
            </w:tcBorders>
            <w:vAlign w:val="bottom"/>
          </w:tcPr>
          <w:p>
            <w:pPr>
              <w:spacing w:before="40" w:after="40" w:line="360" w:lineRule="auto"/>
              <w:jc w:val="center"/>
            </w:pPr>
            <w:r>
              <w:t xml:space="preserve">.375</w:t>
            </w:r>
          </w:p>
        </w:tc>
      </w:tr>
    </w:tbl>
    <w:p>
      <w:pPr>
        <w:spacing w:before="120" w:after="0" w:line="480" w:lineRule="auto"/>
        <w:jc w:val="left"/>
      </w:pPr>
      <w:r>
        <w:rPr>
          <w:i/>
        </w:rPr>
        <w:t xml:space="preserve">Note.</w:t>
      </w:r>
      <w:r>
        <w:t xml:space="preserve"> </w:t>
      </w:r>
      <w:r>
        <w:rPr>
          <w:i/>
        </w:rPr>
        <w:t xml:space="preserve">N</w:t>
      </w:r>
      <w:r>
        <w:t xml:space="preserve"> = 120 (</w:t>
      </w:r>
      <w:r>
        <w:rPr>
          <w:i/>
        </w:rPr>
        <w:t xml:space="preserve">n</w:t>
      </w:r>
      <w:r>
        <w:t xml:space="preserve"> = 60 per group). </w:t>
      </w:r>
      <w:r>
        <w:rPr>
          <w:i/>
        </w:rPr>
        <w:t xml:space="preserve">M</w:t>
      </w:r>
      <w:r>
        <w:t xml:space="preserve"> = mean; </w:t>
      </w:r>
      <w:r>
        <w:rPr>
          <w:i/>
        </w:rPr>
        <w:t xml:space="preserve">SD</w:t>
      </w:r>
      <w:r>
        <w:t xml:space="preserve"> = standard deviation.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