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  <Override PartName="/word/media/rId61.png" ContentType="image/png"/>
  <Override PartName="/word/media/rId75.png" ContentType="image/png"/>
  <Override PartName="/word/media/rId38.png" ContentType="image/png"/>
  <Override PartName="/word/media/rId53.png" ContentType="image/png"/>
  <Override PartName="/word/media/rId46.png" ContentType="image/png"/>
  <Override PartName="/word/media/rId30.png" ContentType="image/png"/>
  <Override PartName="/word/media/rId6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JSPlotly e GSPlotly na Escola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  Para ilustrar o potencial de uso do</w:t>
      </w:r>
      <w:r>
        <w:t xml:space="preserve"> </w:t>
      </w:r>
      <w:r>
        <w:rPr>
          <w:i/>
          <w:iCs/>
        </w:rPr>
        <w:t xml:space="preserve">JSPlotly</w:t>
      </w:r>
      <w:r>
        <w:t xml:space="preserve"> </w:t>
      </w:r>
      <w:r>
        <w:t xml:space="preserve">para o ensino fundamental e médio, seguem alguns exemplos de simulações e cujos gráficos são frequentemente encontrados em livros-texto e conteúdos afins. Para um melhor aproveitamento de cada tema, experimente seguir as sugestões para</w:t>
      </w:r>
      <w:r>
        <w:t xml:space="preserve"> </w:t>
      </w:r>
      <w:r>
        <w:rPr>
          <w:i/>
          <w:iCs/>
        </w:rPr>
        <w:t xml:space="preserve">manipulação paramétrica</w:t>
      </w:r>
      <w:r>
        <w:t xml:space="preserve"> </w:t>
      </w:r>
      <w:r>
        <w:t xml:space="preserve">em cada tema.</w:t>
      </w:r>
    </w:p>
    <w:p>
      <w:pPr>
        <w:pStyle w:val="BodyText"/>
      </w:pPr>
      <w:r>
        <w:br/>
      </w:r>
    </w:p>
    <w:bookmarkStart w:id="20" w:name="instruções"/>
    <w:p>
      <w:pPr>
        <w:pStyle w:val="Heading2"/>
      </w:pPr>
      <w:r>
        <w:t xml:space="preserve">Instruções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Escolha um tema;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Clique no gráfico correspondente;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Clique em </w:t>
      </w:r>
      <w:r>
        <w:rPr>
          <w:rStyle w:val="StringTok"/>
        </w:rPr>
        <w:t xml:space="preserve">"Add Plot"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Use o mouse para interatividade 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ou edite o código. </w:t>
      </w:r>
      <w:r>
        <w:br/>
      </w:r>
      <w:r>
        <w:br/>
      </w:r>
      <w:r>
        <w:rPr>
          <w:rStyle w:val="NormalTok"/>
        </w:rPr>
        <w:t xml:space="preserve">Lembrete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o editor usa desfazer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refazer infinitos no código (Ctrl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Shift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Ctrl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Z) </w:t>
      </w:r>
      <w:r>
        <w:rPr>
          <w:rStyle w:val="SpecialCharTok"/>
        </w:rPr>
        <w:t xml:space="preserve">!</w:t>
      </w:r>
    </w:p>
    <w:p>
      <w:pPr>
        <w:pStyle w:val="FirstParagraph"/>
      </w:pPr>
      <w:r>
        <w:br/>
      </w:r>
    </w:p>
    <w:bookmarkEnd w:id="20"/>
    <w:bookmarkStart w:id="28" w:name="matemática"/>
    <w:p>
      <w:pPr>
        <w:pStyle w:val="Heading2"/>
      </w:pPr>
      <w:r>
        <w:t xml:space="preserve">1 Matemática</w:t>
      </w:r>
    </w:p>
    <w:bookmarkStart w:id="21" w:name="X028dd0b0b6ece4f0849c8bfe66e7b400a4bf62c"/>
    <w:p>
      <w:pPr>
        <w:pStyle w:val="Heading3"/>
      </w:pPr>
      <w:r>
        <w:t xml:space="preserve">1.1 Contexto - Trigonometria (EM13MAT306, EM13MAT308, EM13MAT307)</w:t>
      </w:r>
    </w:p>
    <w:p>
      <w:pPr>
        <w:pStyle w:val="FirstParagraph"/>
      </w:pPr>
      <w:r>
        <w:t xml:space="preserve">  A simulação a seguir objetiva facilitar a visualização para alguns conceitos em trigonometria,</w:t>
      </w:r>
      <w:r>
        <w:t xml:space="preserve"> </w:t>
      </w:r>
      <w:r>
        <w:rPr>
          <w:i/>
          <w:iCs/>
        </w:rPr>
        <w:t xml:space="preserve">seno, cosseno e tangente</w:t>
      </w:r>
      <w:r>
        <w:t xml:space="preserve">. O código permite usar um</w:t>
      </w:r>
      <w:r>
        <w:t xml:space="preserve"> </w:t>
      </w:r>
      <w:r>
        <w:rPr>
          <w:i/>
          <w:iCs/>
        </w:rPr>
        <w:t xml:space="preserve">menu suspenso</w:t>
      </w:r>
      <w:r>
        <w:t xml:space="preserve"> </w:t>
      </w:r>
      <w:r>
        <w:t xml:space="preserve">para cada função trigonométrica, bem como um</w:t>
      </w:r>
      <w:r>
        <w:t xml:space="preserve"> </w:t>
      </w:r>
      <w:r>
        <w:rPr>
          <w:i/>
          <w:iCs/>
        </w:rPr>
        <w:t xml:space="preserve">slider</w:t>
      </w:r>
      <w:r>
        <w:t xml:space="preserve"> </w:t>
      </w:r>
      <w:r>
        <w:t xml:space="preserve">para alterar a frequência em radianos.</w:t>
      </w:r>
    </w:p>
    <w:bookmarkEnd w:id="21"/>
    <w:bookmarkStart w:id="26" w:name="equação"/>
    <w:p>
      <w:pPr>
        <w:pStyle w:val="Heading3"/>
      </w:pPr>
      <w:r>
        <w:t xml:space="preserve">Equação:</w:t>
      </w:r>
    </w:p>
    <w:p>
      <w:pPr>
        <w:pStyle w:val="FirstParagraph"/>
      </w:pPr>
      <w:r>
        <w:rPr>
          <w:b/>
          <w:bCs/>
        </w:rPr>
        <w:t xml:space="preserve">1. Função seno: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2. Função cosseno: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3. Função tangente: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br/>
      </w:r>
    </w:p>
    <w:p>
      <w:pPr>
        <w:pStyle w:val="BodyText"/>
      </w:pPr>
      <w:hyperlink r:id="rId25">
        <w:r>
          <w:drawing>
            <wp:inline>
              <wp:extent cx="5334000" cy="2466975"/>
              <wp:effectExtent b="0" l="0" r="0" t="0"/>
              <wp:docPr descr="" title="" id="23" name="Picture"/>
              <a:graphic>
                <a:graphicData uri="http://schemas.openxmlformats.org/drawingml/2006/picture">
                  <pic:pic>
                    <pic:nvPicPr>
                      <pic:cNvPr descr="Eq/trigonom.png" id="2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466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26"/>
    <w:bookmarkStart w:id="27" w:name="sugestão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Selecione, alternativamente, a função seno, cosseno, e tangente, utilizando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 o </w:t>
      </w:r>
      <w:r>
        <w:rPr>
          <w:rStyle w:val="StringTok"/>
        </w:rPr>
        <w:t xml:space="preserve">"menu suspenso"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Experimente o efeito de se alterar a frequência da função na barra </w:t>
      </w:r>
      <w:r>
        <w:rPr>
          <w:rStyle w:val="FunctionTok"/>
        </w:rPr>
        <w:t xml:space="preserve">deslizante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Sobreponha um gráfico de seno e um de cosseno para observar suas diferenças;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Repita o mesmo para o gráfico de tangente.</w:t>
      </w:r>
    </w:p>
    <w:bookmarkEnd w:id="27"/>
    <w:bookmarkEnd w:id="28"/>
    <w:bookmarkStart w:id="36" w:name="matemática-financeira"/>
    <w:p>
      <w:pPr>
        <w:pStyle w:val="Heading2"/>
      </w:pPr>
      <w:r>
        <w:t xml:space="preserve">2 Matemática Financeira</w:t>
      </w:r>
    </w:p>
    <w:bookmarkStart w:id="29" w:name="contexto---juros-compostos-em13mat402"/>
    <w:p>
      <w:pPr>
        <w:pStyle w:val="Heading3"/>
      </w:pPr>
      <w:r>
        <w:t xml:space="preserve">2.1 Contexto - Juros Compostos (EM13MAT402):</w:t>
      </w:r>
    </w:p>
    <w:p>
      <w:pPr>
        <w:pStyle w:val="FirstParagraph"/>
      </w:pPr>
      <w:r>
        <w:t xml:space="preserve">  Também conhecido pela máxima</w:t>
      </w:r>
      <w:r>
        <w:t xml:space="preserve"> </w:t>
      </w:r>
      <w:r>
        <w:rPr>
          <w:i/>
          <w:iCs/>
        </w:rPr>
        <w:t xml:space="preserve">“juros sobre juros”</w:t>
      </w:r>
      <w:r>
        <w:t xml:space="preserve">, os juros compostos incorporam valor ao capital ao longo do tempo, resultando no cresimento do montante final.</w:t>
      </w:r>
    </w:p>
    <w:bookmarkEnd w:id="29"/>
    <w:bookmarkStart w:id="34" w:name="equação-1"/>
    <w:p>
      <w:pPr>
        <w:pStyle w:val="Heading3"/>
      </w:pPr>
      <w:r>
        <w:t xml:space="preserve">Equação: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Onde,</w:t>
      </w:r>
    </w:p>
    <w:p>
      <w:pPr>
        <w:pStyle w:val="Compact"/>
        <w:numPr>
          <w:ilvl w:val="0"/>
          <w:numId w:val="1001"/>
        </w:numPr>
      </w:pPr>
      <w:r>
        <w:t xml:space="preserve">M: montante final</w:t>
      </w:r>
    </w:p>
    <w:p>
      <w:pPr>
        <w:pStyle w:val="Compact"/>
        <w:numPr>
          <w:ilvl w:val="0"/>
          <w:numId w:val="1001"/>
        </w:numPr>
      </w:pPr>
      <w:r>
        <w:t xml:space="preserve">C: capital inicial</w:t>
      </w:r>
    </w:p>
    <w:p>
      <w:pPr>
        <w:pStyle w:val="Compact"/>
        <w:numPr>
          <w:ilvl w:val="0"/>
          <w:numId w:val="1001"/>
        </w:numPr>
      </w:pPr>
      <w:r>
        <w:t xml:space="preserve">i: taxa de juros por período (em decimal)</w:t>
      </w:r>
    </w:p>
    <w:p>
      <w:pPr>
        <w:pStyle w:val="Compact"/>
        <w:numPr>
          <w:ilvl w:val="0"/>
          <w:numId w:val="1001"/>
        </w:numPr>
      </w:pPr>
      <w:r>
        <w:t xml:space="preserve">t: número de períodos (ex: meses)</w:t>
      </w:r>
    </w:p>
    <w:p>
      <w:pPr>
        <w:pStyle w:val="FirstParagraph"/>
      </w:pPr>
      <w:hyperlink r:id="rId33">
        <w:r>
          <w:drawing>
            <wp:inline>
              <wp:extent cx="5334000" cy="2707689"/>
              <wp:effectExtent b="0" l="0" r="0" t="0"/>
              <wp:docPr descr="" title="" id="31" name="Picture"/>
              <a:graphic>
                <a:graphicData uri="http://schemas.openxmlformats.org/drawingml/2006/picture">
                  <pic:pic>
                    <pic:nvPicPr>
                      <pic:cNvPr descr="Eq/juros.png" id="3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7076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34"/>
    <w:bookmarkStart w:id="35" w:name="sugestão-1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Varie o período de contratação, a taxa mensal de juros ou o montante inicial.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Experimente combinar os parâmetros na variação.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Avalie a diferença visual entre um investimento e um empréstimo, inserido valor positivo de capital inicial para o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o. e negativo para o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o. 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Observe a curva descendente para um empréstimo simulado com capital inicial negativo. Os valores remanescentes referem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 à dívida faltante para quitar o empréstimo.</w:t>
      </w:r>
    </w:p>
    <w:bookmarkEnd w:id="35"/>
    <w:bookmarkEnd w:id="36"/>
    <w:bookmarkStart w:id="44" w:name="estatística"/>
    <w:p>
      <w:pPr>
        <w:pStyle w:val="Heading2"/>
      </w:pPr>
      <w:r>
        <w:t xml:space="preserve">3 Estatística</w:t>
      </w:r>
    </w:p>
    <w:bookmarkStart w:id="37" w:name="X45026f8feedb919efa06c695352faf7959c7a19"/>
    <w:p>
      <w:pPr>
        <w:pStyle w:val="Heading3"/>
      </w:pPr>
      <w:r>
        <w:t xml:space="preserve">3.1 Contexto - Curva de distribuição normal (EM13MAT316, EM13MAT407, EM13MAT312)</w:t>
      </w:r>
    </w:p>
    <w:p>
      <w:pPr>
        <w:pStyle w:val="FirstParagraph"/>
      </w:pPr>
      <w:r>
        <w:t xml:space="preserve">      Amostragem e população são temas comuns para observação de dados em procedimentos analíticos. As curvas de distribuição estatísticas para isso envolvem a distribuição</w:t>
      </w:r>
      <w:r>
        <w:t xml:space="preserve"> </w:t>
      </w:r>
      <w:r>
        <w:rPr>
          <w:i/>
          <w:iCs/>
        </w:rPr>
        <w:t xml:space="preserve">t-Student</w:t>
      </w:r>
      <w:r>
        <w:t xml:space="preserve">,</w:t>
      </w:r>
      <w:r>
        <w:t xml:space="preserve"> </w:t>
      </w:r>
      <w:r>
        <w:rPr>
          <w:i/>
          <w:iCs/>
        </w:rPr>
        <w:t xml:space="preserve">F-Snedecor</w:t>
      </w:r>
      <w:r>
        <w:t xml:space="preserve">,</w:t>
      </w:r>
      <w:r>
        <w:t xml:space="preserve"> </w:t>
      </w:r>
      <w:r>
        <w:rPr>
          <w:i/>
          <w:iCs/>
        </w:rPr>
        <w:t xml:space="preserve">Chi-quadrado</w:t>
      </w:r>
      <w:r>
        <w:t xml:space="preserve">, e</w:t>
      </w:r>
      <w:r>
        <w:t xml:space="preserve"> </w:t>
      </w:r>
      <w:r>
        <w:rPr>
          <w:i/>
          <w:iCs/>
        </w:rPr>
        <w:t xml:space="preserve">distribuição normal</w:t>
      </w:r>
      <w:r>
        <w:t xml:space="preserve">. A curva de distribuição normal reflete o comportamento estatístico para fenômenos naturais em uma dada uma população de dados.</w:t>
      </w:r>
    </w:p>
    <w:p>
      <w:pPr>
        <w:pStyle w:val="BodyText"/>
      </w:pPr>
      <w:r>
        <w:t xml:space="preserve">      O exemplo pretende ilustrar o uso da transformação</w:t>
      </w:r>
      <w:r>
        <w:t xml:space="preserve"> </w:t>
      </w:r>
      <w:r>
        <w:rPr>
          <w:i/>
          <w:iCs/>
        </w:rPr>
        <w:t xml:space="preserve">z</w:t>
      </w:r>
      <w:r>
        <w:t xml:space="preserve">, o cálculo de valores críticos, e a interpretação da área sob a curva no estudo da distribuição normal e de inferência estatística.</w:t>
      </w:r>
    </w:p>
    <w:bookmarkEnd w:id="37"/>
    <w:bookmarkStart w:id="42" w:name="equação-2"/>
    <w:p>
      <w:pPr>
        <w:pStyle w:val="Heading3"/>
      </w:pPr>
      <w:r>
        <w:t xml:space="preserve">Equação</w:t>
      </w:r>
    </w:p>
    <w:p>
      <w:pPr>
        <w:pStyle w:val="FirstParagraph"/>
      </w:pPr>
      <w:r>
        <w:t xml:space="preserve">      A função densidade da distribuição normal (ou Gaussiana) é dada abaixo?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Onde:</w:t>
      </w:r>
    </w:p>
    <w:p>
      <w:pPr>
        <w:pStyle w:val="Compact"/>
        <w:numPr>
          <w:ilvl w:val="0"/>
          <w:numId w:val="1002"/>
        </w:numPr>
      </w:pPr>
      <m:oMath>
        <m:r>
          <m:t>μ</m:t>
        </m:r>
      </m:oMath>
      <w:r>
        <w:t xml:space="preserve"> </w:t>
      </w:r>
      <w:r>
        <w:t xml:space="preserve">= 0 (média da distribuição);</w:t>
      </w:r>
    </w:p>
    <w:p>
      <w:pPr>
        <w:pStyle w:val="Compact"/>
        <w:numPr>
          <w:ilvl w:val="0"/>
          <w:numId w:val="1002"/>
        </w:numPr>
      </w:pPr>
      <m:oMath>
        <m:r>
          <m:t>σ</m:t>
        </m:r>
      </m:oMath>
      <w:r>
        <w:t xml:space="preserve"> </w:t>
      </w:r>
      <w:r>
        <w:t xml:space="preserve">= 1 (desvio padrão);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x</w:t>
      </w:r>
      <w:r>
        <w:t xml:space="preserve"> </w:t>
      </w:r>
      <w:r>
        <w:t xml:space="preserve">= variável aleatória contínua;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= função de densidade da distribuição normal</w:t>
      </w:r>
    </w:p>
    <w:p>
      <w:pPr>
        <w:pStyle w:val="FirstParagraph"/>
      </w:pPr>
      <w:r>
        <w:t xml:space="preserve">      Da equação acima pode-se extrair</w:t>
      </w:r>
      <w:r>
        <w:t xml:space="preserve"> </w:t>
      </w:r>
      <w:r>
        <w:rPr>
          <w:i/>
          <w:iCs/>
        </w:rPr>
        <w:t xml:space="preserve">z</w:t>
      </w:r>
      <w:r>
        <w:t xml:space="preserve">, o valor da variável aleatória padronizada para média nula e desvio-padrão unitário, representando o valor no eixo das abscissas: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hyperlink r:id="rId41">
        <w:r>
          <w:drawing>
            <wp:inline>
              <wp:extent cx="5334000" cy="3821373"/>
              <wp:effectExtent b="0" l="0" r="0" t="0"/>
              <wp:docPr descr="" title="" id="39" name="Picture"/>
              <a:graphic>
                <a:graphicData uri="http://schemas.openxmlformats.org/drawingml/2006/picture">
                  <pic:pic>
                    <pic:nvPicPr>
                      <pic:cNvPr descr="Eq/estat.png" id="4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82137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42"/>
    <w:bookmarkStart w:id="43" w:name="sugestão-2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Experimente alterar o valor de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 e rodar o gráfico. Esse valor representa a probabilidade de se observar, sob a hipótese nula, um valor tão extremo ou mais extremo do que o observado — ou seja, mede a evidência contra a hipótese nula. No gráfico, representa a área sob a curva normal nas regiões críticas, indicando a chance de ocorrência do resultado observado por puro acaso.</w:t>
      </w:r>
    </w:p>
    <w:bookmarkEnd w:id="43"/>
    <w:bookmarkEnd w:id="44"/>
    <w:bookmarkStart w:id="59" w:name="física"/>
    <w:p>
      <w:pPr>
        <w:pStyle w:val="Heading2"/>
      </w:pPr>
      <w:r>
        <w:t xml:space="preserve">4 Física</w:t>
      </w:r>
    </w:p>
    <w:bookmarkStart w:id="45" w:name="Xa20c2a59482752ec24bbee430e521a3148d6f5c"/>
    <w:p>
      <w:pPr>
        <w:pStyle w:val="Heading3"/>
      </w:pPr>
      <w:r>
        <w:t xml:space="preserve">4.1 Contexto - Energia potencial elástica (EM13CNT102,EM13CNT202, EM13MAT402)</w:t>
      </w:r>
    </w:p>
    <w:p>
      <w:pPr>
        <w:pStyle w:val="FirstParagraph"/>
      </w:pPr>
      <w:r>
        <w:t xml:space="preserve">  A deformação de um material elástico é diretamente proporcional à força exercida sobre esse, e limitada às propriedades do material.</w:t>
      </w:r>
    </w:p>
    <w:bookmarkEnd w:id="45"/>
    <w:bookmarkStart w:id="50" w:name="equação-3"/>
    <w:p>
      <w:pPr>
        <w:pStyle w:val="Heading3"/>
      </w:pPr>
      <w:r>
        <w:t xml:space="preserve">Equação</w:t>
      </w:r>
    </w:p>
    <w:p>
      <w:pPr>
        <w:pStyle w:val="FirstParagraph"/>
      </w:pPr>
      <w:r>
        <w:t xml:space="preserve">  O comportamento de uma mola ideal é descrita pela</w:t>
      </w:r>
      <w:r>
        <w:t xml:space="preserve"> </w:t>
      </w:r>
      <w:r>
        <w:rPr>
          <w:i/>
          <w:iCs/>
        </w:rPr>
        <w:t xml:space="preserve">Lei de Hooke</w:t>
      </w:r>
      <w:r>
        <w:t xml:space="preserve"> </w:t>
      </w:r>
      <w:r>
        <w:t xml:space="preserve">abaixo: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*</m:t>
          </m:r>
          <m:r>
            <m:t>x</m:t>
          </m:r>
        </m:oMath>
      </m:oMathPara>
    </w:p>
    <w:p>
      <w:pPr>
        <w:pStyle w:val="FirstParagraph"/>
      </w:pPr>
      <w:r>
        <w:rPr>
          <w:i/>
          <w:iCs/>
        </w:rPr>
        <w:t xml:space="preserve">Onde:</w:t>
      </w:r>
    </w:p>
    <w:p>
      <w:pPr>
        <w:pStyle w:val="Compact"/>
        <w:numPr>
          <w:ilvl w:val="0"/>
          <w:numId w:val="1003"/>
        </w:numPr>
      </w:pPr>
      <w:r>
        <w:t xml:space="preserve">F = força restauradora da mola (N);</w:t>
      </w:r>
    </w:p>
    <w:p>
      <w:pPr>
        <w:pStyle w:val="Compact"/>
        <w:numPr>
          <w:ilvl w:val="0"/>
          <w:numId w:val="1003"/>
        </w:numPr>
      </w:pPr>
      <w:r>
        <w:t xml:space="preserve">k = constante elástica da mola (N/m);</w:t>
      </w:r>
    </w:p>
    <w:p>
      <w:pPr>
        <w:pStyle w:val="Compact"/>
        <w:numPr>
          <w:ilvl w:val="0"/>
          <w:numId w:val="1003"/>
        </w:numPr>
      </w:pPr>
      <w:r>
        <w:t xml:space="preserve">x = deformação (m).</w:t>
      </w:r>
    </w:p>
    <w:p>
      <w:pPr>
        <w:pStyle w:val="FirstParagraph"/>
      </w:pPr>
      <w:r>
        <w:t xml:space="preserve">  Por outro lado, a</w:t>
      </w:r>
      <w:r>
        <w:t xml:space="preserve"> </w:t>
      </w:r>
      <w:r>
        <w:rPr>
          <w:i/>
          <w:iCs/>
        </w:rPr>
        <w:t xml:space="preserve">energia potencial elástica</w:t>
      </w:r>
      <w:r>
        <w:t xml:space="preserve"> </w:t>
      </w:r>
      <w:r>
        <w:t xml:space="preserve">envolvida é descrita pela relação quadrática que segue: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*</m:t>
          </m:r>
          <m:r>
            <m:t>k</m:t>
          </m:r>
          <m:r>
            <m:rPr>
              <m:sty m:val="p"/>
            </m:rPr>
            <m:t>*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Onde:</w:t>
      </w:r>
    </w:p>
    <w:p>
      <w:pPr>
        <w:pStyle w:val="Compact"/>
        <w:numPr>
          <w:ilvl w:val="0"/>
          <w:numId w:val="1004"/>
        </w:numPr>
      </w:pPr>
      <w:r>
        <w:t xml:space="preserve">E = energia potencial elástica (J).</w:t>
      </w:r>
    </w:p>
    <w:p>
      <w:pPr>
        <w:pStyle w:val="FirstParagraph"/>
      </w:pPr>
      <w:hyperlink r:id="rId49">
        <w:r>
          <w:drawing>
            <wp:inline>
              <wp:extent cx="5334000" cy="3065171"/>
              <wp:effectExtent b="0" l="0" r="0" t="0"/>
              <wp:docPr descr="" title="" id="47" name="Picture"/>
              <a:graphic>
                <a:graphicData uri="http://schemas.openxmlformats.org/drawingml/2006/picture">
                  <pic:pic>
                    <pic:nvPicPr>
                      <pic:cNvPr descr="Eq/fisica2.png" id="48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0651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50"/>
    <w:bookmarkStart w:id="51" w:name="sugestão-3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Experimente alterar o valor da constante elástica da mola para evidenciar seu efeito, relacionando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 com molas mais rígidas ou menos rígidas;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Altere os limites de deformação da mola na </w:t>
      </w:r>
      <w:r>
        <w:rPr>
          <w:rStyle w:val="StringTok"/>
        </w:rPr>
        <w:t xml:space="preserve">"estrutura de constrole"</w:t>
      </w:r>
      <w:r>
        <w:rPr>
          <w:rStyle w:val="NormalTok"/>
        </w:rPr>
        <w:t xml:space="preserve"> do código (ex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(let x = -0.7)"</w:t>
      </w:r>
      <w:r>
        <w:rPr>
          <w:rStyle w:val="NormalTok"/>
        </w:rPr>
        <w:t xml:space="preserve">), e observe o efeito na energia potencial máxima;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Observe que, pela operação quadrática no valor da deformação, a energia potencial é sempre positiva.</w:t>
      </w:r>
    </w:p>
    <w:bookmarkEnd w:id="51"/>
    <w:bookmarkStart w:id="52" w:name="X6b33f2f036dac2e5c62761fffbb46b123bf39c9"/>
    <w:p>
      <w:pPr>
        <w:pStyle w:val="Heading3"/>
      </w:pPr>
      <w:r>
        <w:t xml:space="preserve">4.2 Contexto - Movimento de corpos (EM13CNT102):</w:t>
      </w:r>
    </w:p>
    <w:p>
      <w:pPr>
        <w:pStyle w:val="FirstParagraph"/>
      </w:pPr>
      <w:r>
        <w:t xml:space="preserve">  O código a seguir ilustra a trajetória de um lançamento oblíquo com ângulo ajustável por uma barra deslizante (</w:t>
      </w:r>
      <w:r>
        <w:rPr>
          <w:i/>
          <w:iCs/>
        </w:rPr>
        <w:t xml:space="preserve">slider</w:t>
      </w:r>
      <w:r>
        <w:t xml:space="preserve">), útil para explorar os conceitos de cinemática.</w:t>
      </w:r>
    </w:p>
    <w:bookmarkEnd w:id="52"/>
    <w:bookmarkStart w:id="57" w:name="equação-4"/>
    <w:p>
      <w:pPr>
        <w:pStyle w:val="Heading3"/>
      </w:pPr>
      <w:r>
        <w:t xml:space="preserve">Equação:</w:t>
      </w:r>
    </w:p>
    <w:p>
      <w:pPr>
        <w:pStyle w:val="FirstParagraph"/>
      </w:pPr>
      <w:r>
        <w:rPr>
          <w:b/>
          <w:bCs/>
        </w:rPr>
        <w:t xml:space="preserve">1. Equação geral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2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</m:e>
              </m:d>
            </m:den>
          </m:f>
          <m:r>
            <m:rPr>
              <m:sty m:val="p"/>
            </m:rPr>
            <m:t>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Onde:</w:t>
      </w:r>
    </w:p>
    <w:p>
      <w:pPr>
        <w:pStyle w:val="Compact"/>
        <w:numPr>
          <w:ilvl w:val="0"/>
          <w:numId w:val="1005"/>
        </w:numPr>
      </w:pPr>
      <w:r>
        <w:t xml:space="preserve">y(x): altura em função da distância horizontal;</w:t>
      </w:r>
    </w:p>
    <w:p>
      <w:pPr>
        <w:pStyle w:val="Compact"/>
        <w:numPr>
          <w:ilvl w:val="0"/>
          <w:numId w:val="1005"/>
        </w:numPr>
      </w:pPr>
      <w:r>
        <w:t xml:space="preserve">x: posição horizontal (m);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</m:oMath>
      <w:r>
        <w:t xml:space="preserve">: ângulo de lançamento em relação à horizontal (radianos ou graus);</w:t>
      </w:r>
    </w:p>
    <w:p>
      <w:pPr>
        <w:pStyle w:val="Compact"/>
        <w:numPr>
          <w:ilvl w:val="0"/>
          <w:numId w:val="1005"/>
        </w:numPr>
      </w:pPr>
      <w:r>
        <w:t xml:space="preserve">v0: velocidade inicial do projétil (m/s);</w:t>
      </w:r>
    </w:p>
    <w:p>
      <w:pPr>
        <w:pStyle w:val="Compact"/>
        <w:numPr>
          <w:ilvl w:val="0"/>
          <w:numId w:val="1005"/>
        </w:numPr>
      </w:pPr>
      <w:r>
        <w:t xml:space="preserve">g: aceleração da gravidade (9,8 m/s²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2. Tempo total de vôo: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</m:e>
              </m:d>
            </m:num>
            <m:den>
              <m:r>
                <m:t>g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3. Posição Horizontal ao longo do tempo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hyperlink r:id="rId56">
        <w:r>
          <w:drawing>
            <wp:inline>
              <wp:extent cx="5334000" cy="3029964"/>
              <wp:effectExtent b="0" l="0" r="0" t="0"/>
              <wp:docPr descr="" title="" id="54" name="Picture"/>
              <a:graphic>
                <a:graphicData uri="http://schemas.openxmlformats.org/drawingml/2006/picture">
                  <pic:pic>
                    <pic:nvPicPr>
                      <pic:cNvPr descr="Eq/fis_pedra.png" id="5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0299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57"/>
    <w:bookmarkStart w:id="58" w:name="sugestão-4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Veja que há uma barra deslizante para ângulos iniciais na simulação. Arraste a barra para outro ângulo e adicione o gráfico, comparando o efeito dessa modificação.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Altere a velocidade inicial no código, e observe o efeito no gráfico.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Simule uma </w:t>
      </w:r>
      <w:r>
        <w:rPr>
          <w:rStyle w:val="StringTok"/>
        </w:rPr>
        <w:t xml:space="preserve">"condição lunar"</w:t>
      </w:r>
      <w:r>
        <w:rPr>
          <w:rStyle w:val="NormalTok"/>
        </w:rPr>
        <w:t xml:space="preserve"> para a trajetória, e cuja gravidade é em torno de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a da </w:t>
      </w:r>
      <w:r>
        <w:rPr>
          <w:rStyle w:val="FunctionTok"/>
        </w:rPr>
        <w:t xml:space="preserve">Terra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~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s²).</w:t>
      </w:r>
    </w:p>
    <w:bookmarkEnd w:id="58"/>
    <w:bookmarkEnd w:id="59"/>
    <w:bookmarkStart w:id="73" w:name="química"/>
    <w:p>
      <w:pPr>
        <w:pStyle w:val="Heading2"/>
      </w:pPr>
      <w:r>
        <w:t xml:space="preserve">5 Química</w:t>
      </w:r>
    </w:p>
    <w:bookmarkStart w:id="60" w:name="X15666f2fbbde18ab7c134d0d2a3b6d5fae77062"/>
    <w:p>
      <w:pPr>
        <w:pStyle w:val="Heading3"/>
      </w:pPr>
      <w:r>
        <w:t xml:space="preserve">5.1 Contexto - Capacidade Calorífica (EF09CI06, EM13CNT104, EM13CNT203)</w:t>
      </w:r>
    </w:p>
    <w:p>
      <w:pPr>
        <w:pStyle w:val="FirstParagraph"/>
      </w:pPr>
      <w:r>
        <w:t xml:space="preserve">  A simulação que segue visa observar a relação entre o calor trocado (</w:t>
      </w:r>
      <w:r>
        <w:rPr>
          <w:i/>
          <w:iCs/>
        </w:rPr>
        <w:t xml:space="preserve">Q</w:t>
      </w:r>
      <w:r>
        <w:t xml:space="preserve">), a massa (</w:t>
      </w:r>
      <w:r>
        <w:rPr>
          <w:i/>
          <w:iCs/>
        </w:rPr>
        <w:t xml:space="preserve">m</w:t>
      </w:r>
      <w:r>
        <w:t xml:space="preserve">), a capacidade calorífica (</w:t>
      </w:r>
      <w:r>
        <w:rPr>
          <w:i/>
          <w:iCs/>
        </w:rPr>
        <w:t xml:space="preserve">c</w:t>
      </w:r>
      <w:r>
        <w:t xml:space="preserve">) e a variação de temperatura (</w:t>
      </w:r>
      <m:oMath>
        <m:r>
          <m:t>Δ</m:t>
        </m:r>
      </m:oMath>
      <w:r>
        <w:rPr>
          <w:i/>
          <w:iCs/>
        </w:rPr>
        <w:t xml:space="preserve">T</w:t>
      </w:r>
      <w:r>
        <w:t xml:space="preserve">).</w:t>
      </w:r>
    </w:p>
    <w:bookmarkEnd w:id="60"/>
    <w:bookmarkStart w:id="65" w:name="equação-5"/>
    <w:p>
      <w:pPr>
        <w:pStyle w:val="Heading3"/>
      </w:pPr>
      <w:r>
        <w:t xml:space="preserve">Equação: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⋅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br/>
      </w:r>
    </w:p>
    <w:p>
      <w:pPr>
        <w:pStyle w:val="BodyText"/>
      </w:pPr>
      <w:hyperlink r:id="rId64">
        <w:r>
          <w:drawing>
            <wp:inline>
              <wp:extent cx="5334000" cy="2791557"/>
              <wp:effectExtent b="0" l="0" r="0" t="0"/>
              <wp:docPr descr="" title="" id="62" name="Picture"/>
              <a:graphic>
                <a:graphicData uri="http://schemas.openxmlformats.org/drawingml/2006/picture">
                  <pic:pic>
                    <pic:nvPicPr>
                      <pic:cNvPr descr="Eq/cp.png" id="63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6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7915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65"/>
    <w:bookmarkStart w:id="66" w:name="sugestão-5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Experimente variar inicialmente a temperatura, sobrepondo alguns gráficos;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Varie também a massa no editor de códigos, para comparação.</w:t>
      </w:r>
    </w:p>
    <w:bookmarkEnd w:id="66"/>
    <w:bookmarkStart w:id="71" w:name="Xf2da34b4cd4f9bf79ae19b45f15e5fbbffec876"/>
    <w:p>
      <w:pPr>
        <w:pStyle w:val="Heading3"/>
      </w:pPr>
      <w:r>
        <w:t xml:space="preserve">5.2 Contexto: Mistura de substâncias em reação exotérmica - gráfico 3D (EF09CI02, EM13CNT103, EM13CNT103)</w:t>
      </w:r>
    </w:p>
    <w:p>
      <w:pPr>
        <w:pStyle w:val="FirstParagraph"/>
      </w:pPr>
      <w:r>
        <w:t xml:space="preserve">  Simulações podem ser realizadas sem necessariamente envolver uma relação matemática, como na observação experimental de duas variáveis, como tempo e concentração, simulando uma reação química exotérmica. Segue um exemplo interativo em 3D.</w:t>
      </w:r>
    </w:p>
    <w:p>
      <w:pPr>
        <w:pStyle w:val="BodyText"/>
      </w:pPr>
      <w:r>
        <w:t xml:space="preserve">  Nesse caso, a equação utilizada no editor envolve uma variação suave de temperatura ao longo do tempo, empregando-se a função seno e uma temperatura inicial (vide o código).</w:t>
      </w:r>
    </w:p>
    <w:p>
      <w:pPr>
        <w:pStyle w:val="BodyText"/>
      </w:pPr>
      <w:r>
        <w:br/>
      </w:r>
    </w:p>
    <w:p>
      <w:pPr>
        <w:pStyle w:val="BodyText"/>
      </w:pPr>
      <w:hyperlink r:id="rId70">
        <w:r>
          <w:drawing>
            <wp:inline>
              <wp:extent cx="5334000" cy="3203781"/>
              <wp:effectExtent b="0" l="0" r="0" t="0"/>
              <wp:docPr descr="" title="" id="68" name="Picture"/>
              <a:graphic>
                <a:graphicData uri="http://schemas.openxmlformats.org/drawingml/2006/picture">
                  <pic:pic>
                    <pic:nvPicPr>
                      <pic:cNvPr descr="Eq/quim2.png" id="6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6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20378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71"/>
    <w:bookmarkStart w:id="72" w:name="sugestão-6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Experimente variar inicialmente a temperatura, sobrepondo alguns gráficos;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Varie também a massa no editor de códigos, para comparação.</w:t>
      </w:r>
    </w:p>
    <w:bookmarkEnd w:id="72"/>
    <w:bookmarkEnd w:id="73"/>
    <w:bookmarkStart w:id="88" w:name="biologia"/>
    <w:p>
      <w:pPr>
        <w:pStyle w:val="Heading2"/>
      </w:pPr>
      <w:r>
        <w:t xml:space="preserve">6 Biologia</w:t>
      </w:r>
    </w:p>
    <w:bookmarkStart w:id="74" w:name="Xc9ff2196c7aed6cde6bac92d1b035e341ea2f9a"/>
    <w:p>
      <w:pPr>
        <w:pStyle w:val="Heading3"/>
      </w:pPr>
      <w:r>
        <w:t xml:space="preserve">6.1 Contexto - Modelo de Crescimento Populacional com Fase Lag (EM13CNT102)</w:t>
      </w:r>
    </w:p>
    <w:p>
      <w:pPr>
        <w:pStyle w:val="FirstParagraph"/>
      </w:pPr>
      <w:r>
        <w:t xml:space="preserve">  Este modelo apresenta uma função logística que simula o crescimento populacional (microorganismos, células, por ex), acompanhado por um componente de retardo. Variando-se os parâmetros no editor, é possível estimar diversos perfis de crescimento populacional.</w:t>
      </w:r>
    </w:p>
    <w:bookmarkEnd w:id="74"/>
    <w:bookmarkStart w:id="79" w:name="equação-6"/>
    <w:p>
      <w:pPr>
        <w:pStyle w:val="Heading3"/>
      </w:pPr>
      <w:r>
        <w:t xml:space="preserve">Equação: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com 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Onde:</w:t>
      </w:r>
    </w:p>
    <w:p>
      <w:pPr>
        <w:pStyle w:val="Compact"/>
        <w:numPr>
          <w:ilvl w:val="0"/>
          <w:numId w:val="1006"/>
        </w:numPr>
      </w:pPr>
      <w:r>
        <w:t xml:space="preserve">K = capacidade de suporte ambiental;</w:t>
      </w:r>
    </w:p>
    <w:p>
      <w:pPr>
        <w:pStyle w:val="Compact"/>
        <w:numPr>
          <w:ilvl w:val="0"/>
          <w:numId w:val="1006"/>
        </w:numPr>
      </w:pPr>
      <w:r>
        <w:t xml:space="preserve">N0 = população inicial;</w:t>
      </w:r>
    </w:p>
    <w:p>
      <w:pPr>
        <w:pStyle w:val="Compact"/>
        <w:numPr>
          <w:ilvl w:val="0"/>
          <w:numId w:val="1006"/>
        </w:numPr>
      </w:pPr>
      <w:r>
        <w:t xml:space="preserve">r = taxa intrínseca de crescimento;</w:t>
      </w:r>
    </w:p>
    <w:p>
      <w:pPr>
        <w:pStyle w:val="Compact"/>
        <w:numPr>
          <w:ilvl w:val="0"/>
          <w:numId w:val="1006"/>
        </w:numPr>
      </w:pPr>
      <w:r>
        <w:t xml:space="preserve">A(t) = fator de ativação do crescimento com atraso (fase lag);</w:t>
      </w:r>
    </w:p>
    <w:p>
      <w:pPr>
        <w:pStyle w:val="Compact"/>
        <w:numPr>
          <w:ilvl w:val="0"/>
          <w:numId w:val="1006"/>
        </w:numPr>
      </w:pPr>
      <w:r>
        <w:t xml:space="preserve">t0 = ponto médio de transição entre fase lag e fase log;</w:t>
      </w:r>
    </w:p>
    <w:p>
      <w:pPr>
        <w:pStyle w:val="Compact"/>
        <w:numPr>
          <w:ilvl w:val="0"/>
          <w:numId w:val="1006"/>
        </w:numPr>
      </w:pPr>
      <w:r>
        <w:t xml:space="preserve">k = constante de suavidade do retardo (fixado como 0.5 no código)</w:t>
      </w:r>
    </w:p>
    <w:p>
      <w:pPr>
        <w:pStyle w:val="FirstParagraph"/>
      </w:pPr>
      <w:hyperlink r:id="rId78">
        <w:r>
          <w:drawing>
            <wp:inline>
              <wp:extent cx="5334000" cy="2754008"/>
              <wp:effectExtent b="0" l="0" r="0" t="0"/>
              <wp:docPr descr="" title="" id="76" name="Picture"/>
              <a:graphic>
                <a:graphicData uri="http://schemas.openxmlformats.org/drawingml/2006/picture">
                  <pic:pic>
                    <pic:nvPicPr>
                      <pic:cNvPr descr="Eq/crescim.png" id="77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7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75400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79"/>
    <w:bookmarkStart w:id="80" w:name="sugestão-7"/>
    <w:p>
      <w:pPr>
        <w:pStyle w:val="Heading3"/>
      </w:pPr>
      <w:r>
        <w:t xml:space="preserve">Sugestão: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Experimente variar os parâmetros da equação, combinando alguns, e comparando seus efeitos sobre os gráficos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a. Capacidade de suporte;</w:t>
      </w:r>
      <w:r>
        <w:br/>
      </w:r>
      <w:r>
        <w:rPr>
          <w:rStyle w:val="NormalTok"/>
        </w:rPr>
        <w:t xml:space="preserve">  b. População inicial;</w:t>
      </w:r>
      <w:r>
        <w:br/>
      </w:r>
      <w:r>
        <w:rPr>
          <w:rStyle w:val="NormalTok"/>
        </w:rPr>
        <w:t xml:space="preserve">  c. Taxa de crescimento;</w:t>
      </w:r>
      <w:r>
        <w:br/>
      </w:r>
      <w:r>
        <w:rPr>
          <w:rStyle w:val="NormalTok"/>
        </w:rPr>
        <w:t xml:space="preserve">  d. </w:t>
      </w:r>
      <w:r>
        <w:rPr>
          <w:rStyle w:val="FunctionTok"/>
        </w:rPr>
        <w:t xml:space="preserve">Retardo</w:t>
      </w:r>
      <w:r>
        <w:rPr>
          <w:rStyle w:val="NormalTok"/>
        </w:rPr>
        <w:t xml:space="preserve"> (fase lag);</w:t>
      </w:r>
    </w:p>
    <w:bookmarkEnd w:id="80"/>
    <w:bookmarkStart w:id="86" w:name="Xcbb80f7830d15eac904616e187dd9a40153cdd4"/>
    <w:p>
      <w:pPr>
        <w:pStyle w:val="Heading3"/>
      </w:pPr>
      <w:r>
        <w:t xml:space="preserve">6.2 Contexto - Eficiência energética e cadeia alimentar (EF06CI02, EM13CNT202, EM13CNT203)</w:t>
      </w:r>
    </w:p>
    <w:p>
      <w:pPr>
        <w:pStyle w:val="FirstParagraph"/>
      </w:pPr>
      <w:r>
        <w:t xml:space="preserve">      Segue um exemplo para retratar a transferëncia de energia entre diferentes níveis tróficos de uma cadeia alimentar. Embora não haja propriamente uma função matemática que a descreva, pode-se aplicar a</w:t>
      </w:r>
      <w:r>
        <w:t xml:space="preserve"> </w:t>
      </w:r>
      <w:hyperlink r:id="rId81">
        <w:r>
          <w:rPr>
            <w:rStyle w:val="Hyperlink"/>
          </w:rPr>
          <w:t xml:space="preserve">lei dos 10%</w:t>
        </w:r>
      </w:hyperlink>
      <w:r>
        <w:t xml:space="preserve"> </w:t>
      </w:r>
      <w:r>
        <w:t xml:space="preserve">de eficiência ecológica entre os níveis da cadeia, o que resulta numa relação logaritmica de transferência.</w:t>
      </w:r>
    </w:p>
    <w:p>
      <w:pPr>
        <w:pStyle w:val="BodyText"/>
      </w:pPr>
      <w:hyperlink r:id="rId85">
        <w:r>
          <w:drawing>
            <wp:inline>
              <wp:extent cx="5334000" cy="3597864"/>
              <wp:effectExtent b="0" l="0" r="0" t="0"/>
              <wp:docPr descr="" title="" id="83" name="Picture"/>
              <a:graphic>
                <a:graphicData uri="http://schemas.openxmlformats.org/drawingml/2006/picture">
                  <pic:pic>
                    <pic:nvPicPr>
                      <pic:cNvPr descr="Eq/bio2.png" id="8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8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5978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86"/>
    <w:bookmarkStart w:id="87" w:name="sugestão-8"/>
    <w:p>
      <w:pPr>
        <w:pStyle w:val="Heading3"/>
      </w:pPr>
      <w:r>
        <w:t xml:space="preserve">Sugestão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A regra de Lindeman, esboçada na referência acima, estabelece uma variação para </w:t>
      </w:r>
      <w:r>
        <w:rPr>
          <w:rStyle w:val="DecValTok"/>
        </w:rPr>
        <w:t xml:space="preserve">5-20</w:t>
      </w:r>
      <w:r>
        <w:rPr>
          <w:rStyle w:val="NormalTok"/>
        </w:rPr>
        <w:t xml:space="preserve">% de eficiência energética no ecossistema. Assim, experimente sobrepor as curvas com tais taxas;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Se quiser observar a relação logarítmica da transferência de energia, acrescente o comando </w:t>
      </w:r>
      <w:r>
        <w:rPr>
          <w:rStyle w:val="StringTok"/>
        </w:rPr>
        <w:t xml:space="preserve">"type: 'log',"</w:t>
      </w:r>
      <w:r>
        <w:rPr>
          <w:rStyle w:val="NormalTok"/>
        </w:rPr>
        <w:t xml:space="preserve"> , logo abaixo de </w:t>
      </w:r>
      <w:r>
        <w:rPr>
          <w:rStyle w:val="StringTok"/>
        </w:rPr>
        <w:t xml:space="preserve">"title: 'Energia disponível (unidades)',"</w:t>
      </w:r>
      <w:r>
        <w:rPr>
          <w:rStyle w:val="NormalTok"/>
        </w:rPr>
        <w:t xml:space="preserve">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2" Target="media/rId82.png" /><Relationship Type="http://schemas.openxmlformats.org/officeDocument/2006/relationships/image" Id="rId61" Target="media/rId61.png" /><Relationship Type="http://schemas.openxmlformats.org/officeDocument/2006/relationships/image" Id="rId75" Target="media/rId75.png" /><Relationship Type="http://schemas.openxmlformats.org/officeDocument/2006/relationships/image" Id="rId38" Target="media/rId38.png" /><Relationship Type="http://schemas.openxmlformats.org/officeDocument/2006/relationships/image" Id="rId53" Target="media/rId53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67" Target="media/rId67.png" /><Relationship Type="http://schemas.openxmlformats.org/officeDocument/2006/relationships/image" Id="rId22" Target="media/rId22.png" /><Relationship Type="http://schemas.openxmlformats.org/officeDocument/2006/relationships/hyperlink" Id="rId85" Target="Eq/jsp_bio2.html" TargetMode="External" /><Relationship Type="http://schemas.openxmlformats.org/officeDocument/2006/relationships/hyperlink" Id="rId64" Target="Eq/jsp_cp2.html" TargetMode="External" /><Relationship Type="http://schemas.openxmlformats.org/officeDocument/2006/relationships/hyperlink" Id="rId78" Target="Eq/jsp_crescim2.html" TargetMode="External" /><Relationship Type="http://schemas.openxmlformats.org/officeDocument/2006/relationships/hyperlink" Id="rId41" Target="Eq/jsp_estat2.html" TargetMode="External" /><Relationship Type="http://schemas.openxmlformats.org/officeDocument/2006/relationships/hyperlink" Id="rId56" Target="Eq/jsp_fis_pedra2.html" TargetMode="External" /><Relationship Type="http://schemas.openxmlformats.org/officeDocument/2006/relationships/hyperlink" Id="rId49" Target="Eq/jsp_fisica2.html" TargetMode="External" /><Relationship Type="http://schemas.openxmlformats.org/officeDocument/2006/relationships/hyperlink" Id="rId33" Target="Eq/jsp_juros2.html" TargetMode="External" /><Relationship Type="http://schemas.openxmlformats.org/officeDocument/2006/relationships/hyperlink" Id="rId70" Target="Eq/jsp_quim2.html" TargetMode="External" /><Relationship Type="http://schemas.openxmlformats.org/officeDocument/2006/relationships/hyperlink" Id="rId25" Target="Eq/jsp_trigonom2.html" TargetMode="External" /><Relationship Type="http://schemas.openxmlformats.org/officeDocument/2006/relationships/hyperlink" Id="rId81" Target="https://en.wikipedia.org/wiki/Ecological_efficiency?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Eq/jsp_bio2.html" TargetMode="External" /><Relationship Type="http://schemas.openxmlformats.org/officeDocument/2006/relationships/hyperlink" Id="rId64" Target="Eq/jsp_cp2.html" TargetMode="External" /><Relationship Type="http://schemas.openxmlformats.org/officeDocument/2006/relationships/hyperlink" Id="rId78" Target="Eq/jsp_crescim2.html" TargetMode="External" /><Relationship Type="http://schemas.openxmlformats.org/officeDocument/2006/relationships/hyperlink" Id="rId41" Target="Eq/jsp_estat2.html" TargetMode="External" /><Relationship Type="http://schemas.openxmlformats.org/officeDocument/2006/relationships/hyperlink" Id="rId56" Target="Eq/jsp_fis_pedra2.html" TargetMode="External" /><Relationship Type="http://schemas.openxmlformats.org/officeDocument/2006/relationships/hyperlink" Id="rId49" Target="Eq/jsp_fisica2.html" TargetMode="External" /><Relationship Type="http://schemas.openxmlformats.org/officeDocument/2006/relationships/hyperlink" Id="rId33" Target="Eq/jsp_juros2.html" TargetMode="External" /><Relationship Type="http://schemas.openxmlformats.org/officeDocument/2006/relationships/hyperlink" Id="rId70" Target="Eq/jsp_quim2.html" TargetMode="External" /><Relationship Type="http://schemas.openxmlformats.org/officeDocument/2006/relationships/hyperlink" Id="rId25" Target="Eq/jsp_trigonom2.html" TargetMode="External" /><Relationship Type="http://schemas.openxmlformats.org/officeDocument/2006/relationships/hyperlink" Id="rId81" Target="https://en.wikipedia.org/wiki/Ecological_efficiency?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JSPlotly e GSPlotly na Escola</dc:title>
  <dc:creator/>
  <dc:language>pt</dc:language>
  <cp:keywords/>
  <dcterms:created xsi:type="dcterms:W3CDTF">2025-08-19T14:17:33Z</dcterms:created>
  <dcterms:modified xsi:type="dcterms:W3CDTF">2025-08-19T14:17:33Z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Índice</vt:lpwstr>
  </property>
</Properties>
</file>