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HSI Water Detection Application Specification</w:t>
      </w:r>
    </w:p>
    <w:p>
      <w:pPr>
        <w:pStyle w:val="Heading1"/>
      </w:pPr>
      <w:r>
        <w:t>1. Introduction</w:t>
      </w:r>
    </w:p>
    <w:p>
      <w:r>
        <w:t>This document outlines the design of an application developed for the validation and demonstration of your hyperspectral imaging (HSI) research.  The objective is to process HSI data from sensors such as Hyperion or HISUI, apply a HyperSIGMA‐based model to detect spectral signatures indicative of water, and visualise both detection results and the model’s attention mechanisms.  By providing a reproducible tool, your research results can be evaluated and extended to new data sets.</w:t>
      </w:r>
    </w:p>
    <w:p>
      <w:pPr>
        <w:pStyle w:val="Heading1"/>
      </w:pPr>
      <w:r>
        <w:t>2. Input Data Formats</w:t>
      </w:r>
    </w:p>
    <w:p>
      <w:r>
        <w:t>The application must ingest standard hyperspectral image files.  Supported formats include BigTIFF/GeoTIFF, ENVI binary formats (BSQ, BIL or BIP) with accompanying .hdr files, and HDF5 products for sensors like Hyperion (L1R) and HISUI.  For each scene the program will require:</w:t>
      </w:r>
    </w:p>
    <w:p>
      <w:r>
        <w:t>• The hyperspectral data cube.  For BigTIFF/GeoTIFF products each file generally contains one band; the program should assemble the bands into a three‑dimensional array.  For ENVI or HDF formats the cube is already assembled but must be memory‑mapped because of file size.</w:t>
      </w:r>
    </w:p>
    <w:p>
      <w:r>
        <w:t>• Metadata.  Hyperion and many other HSI products provide a text header (.hdr) file that contains important metadata such as wavelength, full width at half maximum (FWHM), radiance gains and offsets, and solar irradiance for each band【23015922980657†L90-L94】.  In ENVI’s specification the "wavelength" field lists the centre wavelength values of each band【678187456759960†L819-L823】, and the header also stores FWHM and bad‑band multiplier (BBL) information【883152253714115†L79-L83】.  If a wavelength file is not supplied, the program will assume sequential band indices when plotting spectral attention (see Section 6).</w:t>
      </w:r>
    </w:p>
    <w:p>
      <w:r>
        <w:t>• Optional geolocation information (e.g., map info, projection).  When present, this metadata allows detection masks and attention maps to be exported as GeoTIFFs for use in GIS software.</w:t>
      </w:r>
    </w:p>
    <w:p>
      <w:pPr>
        <w:pStyle w:val="Heading1"/>
      </w:pPr>
      <w:r>
        <w:t>3. Pre‑processing Pipeline</w:t>
      </w:r>
    </w:p>
    <w:p>
      <w:r>
        <w:t>To ensure consistency with your research pipeline, the application will perform several pre‑processing steps before model inference:</w:t>
      </w:r>
    </w:p>
    <w:p/>
    <w:p>
      <w:r>
        <w:t>• Bad band removal: bands flagged in the BBL vector or designated as uncalibrated (e.g., Hyperion bands 1–7, 58–76 and 225–242) must be excluded.</w:t>
      </w:r>
    </w:p>
    <w:p/>
    <w:p>
      <w:r>
        <w:t>• Radiometric calibration: if requested, convert digital numbers to radiance using gain and offset values in the header.  Additional scaling factors for SWIR and VNIR bands (e.g., Hyperion scaling factors) should also be applied.</w:t>
      </w:r>
    </w:p>
    <w:p/>
    <w:p>
      <w:r>
        <w:t>• Reflectance conversion: optional conversion to top‑of‑atmosphere (TOA) or surface reflectance using calibration coefficients or radiative transfer models.</w:t>
      </w:r>
    </w:p>
    <w:p/>
    <w:p>
      <w:r>
        <w:t>• Image registration: align all bands to a common grid if needed, and rotate to ensure north‑up orientation.  Metadata fields "map info" and "pixel size" in ENVI headers can be used for this alignment.</w:t>
      </w:r>
    </w:p>
    <w:p/>
    <w:p>
      <w:r>
        <w:t>• Cropping and tiling: large scenes should be cut into smaller tiles (patches) with optional overlap to fit into GPU memory.  Patch size should be configurable.</w:t>
      </w:r>
    </w:p>
    <w:p>
      <w:pPr>
        <w:pStyle w:val="Heading1"/>
      </w:pPr>
      <w:r>
        <w:t>4. Water Detection Module (HyperSIGMA)</w:t>
      </w:r>
    </w:p>
    <w:p>
      <w:r>
        <w:t>At the core of the application is a HyperSIGMA model trained to identify water‑related spectral features.  The model will support loading pre‑trained weights and fine‑tuned weights produced during your research.  Features include:</w:t>
      </w:r>
    </w:p>
    <w:p/>
    <w:p>
      <w:r>
        <w:t>• Inference pipeline: for each input patch, the hyperspectral cube is normalised and passed through the HyperSIGMA architecture.  The model returns a water detection score for each pixel and retains spatial and spectral attention matrices when "return\_attn" is set.</w:t>
      </w:r>
    </w:p>
    <w:p/>
    <w:p>
      <w:r>
        <w:t>• Batching: processing is vectorised across image patches to utilise GPU resources efficiently.  Patch size and batch size are parameters.</w:t>
      </w:r>
    </w:p>
    <w:p/>
    <w:p>
      <w:r>
        <w:t>• Thresholding: after inference, the user can specify a probability threshold to generate binary water masks.  Threshold selection can also be automated using Otsu’s method or ROC analysis.</w:t>
      </w:r>
    </w:p>
    <w:p>
      <w:pPr>
        <w:pStyle w:val="Heading1"/>
      </w:pPr>
      <w:r>
        <w:t>5. Attention Map Visualisation</w:t>
      </w:r>
    </w:p>
    <w:p>
      <w:r>
        <w:t>Explainable outputs are a key requirement.  The application will therefore visualise both spatial and spectral attention:</w:t>
      </w:r>
    </w:p>
    <w:p/>
    <w:p>
      <w:r>
        <w:t>• Spatial attention: the model’s spatial attention map for each patch (or aggregated over patches) is up‑sampled to the input resolution and overlaid on an RGB composite generated from selected bands (e.g., VNIR bands approximating true colour).  Users can choose the RGB band combination.  A colour map (e.g., jet, viridis) is applied to highlight areas that contribute most to the water classification.</w:t>
      </w:r>
    </w:p>
    <w:p/>
    <w:p>
      <w:r>
        <w:t>• Spectral attention: for a user‑selected pixel (or a set of representative pixels), the spectral attention weights are plotted against wavelength.  When a wavelength file is provided, the x‑axis uses the wavelength values from the header【678187456759960†L819-L823】; otherwise, band indices are used.  The plot should optionally overlay the original reflectance spectrum for context and annotate peaks that correspond to known water absorption features.</w:t>
      </w:r>
    </w:p>
    <w:p/>
    <w:p>
      <w:r>
        <w:t>• Interactivity: provide simple controls (e.g., through a web interface or a Jupyter notebook widget) to select pixels for spectral inspection and adjust the transparency of overlays.  Users can export attention maps as PNG or GeoTIFF images for further analysis.</w:t>
      </w:r>
    </w:p>
    <w:p>
      <w:pPr>
        <w:pStyle w:val="Heading1"/>
      </w:pPr>
      <w:r>
        <w:t>6. Output Products</w:t>
      </w:r>
    </w:p>
    <w:p>
      <w:r>
        <w:t>For each input scene the program will produce several outputs stored in an organised directory structure:</w:t>
      </w:r>
    </w:p>
    <w:p/>
    <w:p>
      <w:r>
        <w:t>• Water detection mask (GeoTIFF or PNG): a raster of the same spatial dimensions as the input (or patch mosaic) with float values representing probability or binary labels.</w:t>
      </w:r>
    </w:p>
    <w:p/>
    <w:p>
      <w:r>
        <w:t>• Spatial attention heatmap (GeoTIFF/PNG): attention values per pixel projected back to the image coordinate system.</w:t>
      </w:r>
    </w:p>
    <w:p/>
    <w:p>
      <w:r>
        <w:t>• RGB overlay (PNG): composite image with spatial attention overlaid on the selected RGB channels.</w:t>
      </w:r>
    </w:p>
    <w:p/>
    <w:p>
      <w:r>
        <w:t>• Spectral attention plots (PNG): for selected sample points, line plots of spectral attention versus wavelength or band index.</w:t>
      </w:r>
    </w:p>
    <w:p/>
    <w:p>
      <w:r>
        <w:t>• Metadata JSON: includes processing parameters (date, model version, threshold values), mapping between input bands and wavelengths, and links to the generated products.</w:t>
      </w:r>
    </w:p>
    <w:p>
      <w:pPr>
        <w:pStyle w:val="Heading1"/>
      </w:pPr>
      <w:r>
        <w:t>7. Additional Features and Recommendations</w:t>
      </w:r>
    </w:p>
    <w:p>
      <w:r>
        <w:t>Beyond the core requirements, the following features are recommended to enhance usability and scientific value:</w:t>
      </w:r>
    </w:p>
    <w:p/>
    <w:p>
      <w:r>
        <w:t>• Command‑line interface (CLI) and graphical interface: provide a CLI for batch processing and integration into larger workflows, and optionally a lightweight web or desktop GUI for interactive exploration.</w:t>
      </w:r>
    </w:p>
    <w:p/>
    <w:p>
      <w:r>
        <w:t>• Multi‑sensor support: define sensor profiles (e.g., Hyperion, HISUI, AVIRIS) that specify bad bands and wavelength lists; the program can automatically load the appropriate profile based on metadata.</w:t>
      </w:r>
    </w:p>
    <w:p/>
    <w:p>
      <w:r>
        <w:t>• GPU/CPU flexibility: detect available GPUs and allow fallback to CPU processing with progress indicators.</w:t>
      </w:r>
    </w:p>
    <w:p/>
    <w:p>
      <w:r>
        <w:t>• Model management: include utilities to download or update model weights from a repository (e.g., GitHub) and select among multiple versions for comparison.</w:t>
      </w:r>
    </w:p>
    <w:p/>
    <w:p>
      <w:r>
        <w:t>• Logging and error handling: record processing steps and warnings in a log file, and implement graceful handling of missing files or incompatible data formats.</w:t>
      </w:r>
    </w:p>
    <w:p/>
    <w:p>
      <w:r>
        <w:t>• Unit tests and continuous integration: implement tests to ensure that pre‑processing functions, model loading, and visualisation produce consistent results.  Integrate with GitHub Actions or another CI platform.</w:t>
      </w:r>
    </w:p>
    <w:p/>
    <w:p>
      <w:r>
        <w:t>• Containerisation: provide a Dockerfile and conda environment to reproduce the environment and ease deployment on different systems.</w:t>
      </w:r>
    </w:p>
    <w:p/>
    <w:p>
      <w:r>
        <w:t>• Documentation: include a README, user guide and API reference.  The README should explain how to install dependencies, obtain sample data, run inference and interpret outputs.</w:t>
      </w:r>
    </w:p>
    <w:p/>
    <w:p>
      <w:pPr>
        <w:pStyle w:val="Heading1"/>
      </w:pPr>
      <w:r>
        <w:t>8. Version Control with Git</w:t>
      </w:r>
    </w:p>
    <w:p>
      <w:r>
        <w:t>To ensure traceability and reproducibility, all source code, configuration files and documentation should be managed with Git.  Recommended practices include:</w:t>
      </w:r>
    </w:p>
    <w:p/>
    <w:p>
      <w:r>
        <w:t>• Repository structure: organise the project into directories such as "src/" for application code, "models/" for trained weights, "data/" for small test files (large data should be stored externally), "docs/" for documentation, and "tests/" for unit tests.</w:t>
      </w:r>
    </w:p>
    <w:p/>
    <w:p>
      <w:r>
        <w:t>• Branches and pull requests: use feature branches for developing new functionality, and create pull requests for review and integration.</w:t>
      </w:r>
    </w:p>
    <w:p/>
    <w:p>
      <w:r>
        <w:t>• Semantic versioning: tag releases (e.g., v1.0.0) when the application reaches stable milestones.  Store release notes describing new features and bug fixes.</w:t>
      </w:r>
    </w:p>
    <w:p/>
    <w:p>
      <w:r>
        <w:t>• Large file handling: for trained models or sample HSI patches that exceed repository size limits, use Git Large File Storage (LFS) or host them in an external object storage and include download scripts.</w:t>
      </w:r>
    </w:p>
    <w:p/>
    <w:p>
      <w:r>
        <w:t>• Change logs: update a CHANGELOG.md file summarising notable changes in each release.</w:t>
      </w:r>
    </w:p>
    <w:p>
      <w:pPr>
        <w:pStyle w:val="Heading1"/>
      </w:pPr>
      <w:r>
        <w:t>9. Future Extensions</w:t>
      </w:r>
    </w:p>
    <w:p>
      <w:r>
        <w:t>Possible future enhancements include: integration with atmospheric correction modules (e.g., implementing 6S or Py6S), adding functionality to fine‑tune HyperSIGMA on user‑labelled training patches, implementing domain adaptation techniques for transferring models across sensors, and incorporating batch‑wise explanation methods (such as Integrated Gradients) as alternative explanation schemes.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