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05e80facdbab79a6755dd967481a65a444aa674"/>
    <w:p>
      <w:pPr>
        <w:pStyle w:val="Heading1"/>
      </w:pPr>
      <w:r>
        <w:t xml:space="preserve">S²-NS Solver Architecture for Multi-Step Conversational Agents</w:t>
      </w:r>
    </w:p>
    <w:bookmarkStart w:id="37" w:name="core-s²-ns-architecture"/>
    <w:p>
      <w:pPr>
        <w:pStyle w:val="Heading2"/>
      </w:pPr>
      <w:r>
        <w:t xml:space="preserve">Core S²-NS Architecture</w:t>
      </w:r>
    </w:p>
    <w:p>
      <w:pPr>
        <w:pStyle w:val="FirstParagraph"/>
      </w:pPr>
      <w:r>
        <w:rPr>
          <w:b/>
          <w:bCs/>
        </w:rPr>
        <w:t xml:space="preserve">Overview:</w:t>
      </w:r>
      <w:r>
        <w:t xml:space="preserve"> </w:t>
      </w:r>
      <w:r>
        <w:t xml:space="preserve">The</w:t>
      </w:r>
      <w:r>
        <w:t xml:space="preserve"> </w:t>
      </w:r>
      <w:r>
        <w:rPr>
          <w:i/>
          <w:iCs/>
        </w:rPr>
        <w:t xml:space="preserve">Self-Supervised Neuro-Symbolic (S²-NS) Solver</w:t>
      </w:r>
      <w:r>
        <w:t xml:space="preserve"> </w:t>
      </w:r>
      <w:r>
        <w:t xml:space="preserve">is a hybrid pipeline that combines graph neural network embeddings with classical algorithms to produce a robust, interpretable reasoning structure. At its core, S²-NS encodes knowledge graph entities into a latent space using a</w:t>
      </w:r>
      <w:r>
        <w:t xml:space="preserve"> </w:t>
      </w:r>
      <w:r>
        <w:rPr>
          <w:b/>
          <w:bCs/>
        </w:rPr>
        <w:t xml:space="preserve">GraphSAGE</w:t>
      </w:r>
      <w:r>
        <w:t xml:space="preserve"> </w:t>
      </w:r>
      <w:r>
        <w:t xml:space="preserve">neural encoder, trains these representations via</w:t>
      </w:r>
      <w:r>
        <w:t xml:space="preserve"> </w:t>
      </w:r>
      <w:r>
        <w:rPr>
          <w:b/>
          <w:bCs/>
        </w:rPr>
        <w:t xml:space="preserve">contrastive self-supervised learning</w:t>
      </w:r>
      <w:r>
        <w:t xml:space="preserve"> </w:t>
      </w:r>
      <w:r>
        <w:t xml:space="preserve">with graph augmentations, prunes noise by</w:t>
      </w:r>
      <w:r>
        <w:t xml:space="preserve"> </w:t>
      </w:r>
      <w:r>
        <w:rPr>
          <w:b/>
          <w:bCs/>
        </w:rPr>
        <w:t xml:space="preserve">clustering (DBSCAN)</w:t>
      </w:r>
      <w:r>
        <w:t xml:space="preserve"> </w:t>
      </w:r>
      <w:r>
        <w:t xml:space="preserve">in the embedding space, and finally applies a</w:t>
      </w:r>
      <w:r>
        <w:t xml:space="preserve"> </w:t>
      </w:r>
      <w:r>
        <w:rPr>
          <w:b/>
          <w:bCs/>
        </w:rPr>
        <w:t xml:space="preserve">symbolic solver</w:t>
      </w:r>
      <w:r>
        <w:t xml:space="preserve"> </w:t>
      </w:r>
      <w:r>
        <w:t xml:space="preserve">(e.g. metric closure + Minimum Spanning Tree) to recover an explicit relational structure. The result is a domain-agnostic framework that can be applied to noisy, large knowledge graphs and later integrated with LLM-based conversational agents for multi-hop reasoning. Below, we describe each component in detail:</w:t>
      </w:r>
    </w:p>
    <w:bookmarkStart w:id="25" w:name="graphsage-encoder-max-pooling-aggregator"/>
    <w:p>
      <w:pPr>
        <w:pStyle w:val="Heading3"/>
      </w:pPr>
      <w:r>
        <w:t xml:space="preserve">GraphSAGE Encoder (Max-Pooling Aggregator)</w:t>
      </w:r>
    </w:p>
    <w:p>
      <w:pPr>
        <w:pStyle w:val="FirstParagraph"/>
      </w:pPr>
      <w:r>
        <w:rPr>
          <w:i/>
          <w:iCs/>
        </w:rPr>
        <w:t xml:space="preserve">S²-NS uses GraphSAGE, an inductive Graph Neural Network, to embed nodes (entities) by aggregating information from their neighbors.</w:t>
      </w:r>
      <w:r>
        <w:t xml:space="preserve"> </w:t>
      </w:r>
      <w:r>
        <w:t xml:space="preserve">Each node’s feature vector is updated by combining its neighbors’ features through a</w:t>
      </w:r>
      <w:r>
        <w:t xml:space="preserve"> </w:t>
      </w:r>
      <w:r>
        <w:rPr>
          <w:b/>
          <w:bCs/>
        </w:rPr>
        <w:t xml:space="preserve">max-pooling aggregator</w:t>
      </w:r>
      <w:hyperlink r:id="rId21">
        <w:r>
          <w:rPr>
            <w:rStyle w:val="Hyperlink"/>
          </w:rPr>
          <w:t xml:space="preserve">[1]</w:t>
        </w:r>
      </w:hyperlink>
      <w:r>
        <w:t xml:space="preserve">. In practice, this means for each node, we feed each neighbor’s features through a small neural network (e.g. a single-layer MLP + nonlinearity) and then take an elementwise maximum across all those transformed neighbor vectors</w:t>
      </w:r>
      <w:hyperlink r:id="rId21">
        <w:r>
          <w:rPr>
            <w:rStyle w:val="Hyperlink"/>
          </w:rPr>
          <w:t xml:space="preserve">[1]</w:t>
        </w:r>
      </w:hyperlink>
      <w:r>
        <w:t xml:space="preserve">. This pooled vector captures the most salient signals from the neighborhood. The node’s own previous representation is then concatenated with the pooled neighbor vector and passed through another nonlinear layer to yield the new representation</w:t>
      </w:r>
      <w:hyperlink r:id="rId22">
        <w:r>
          <w:rPr>
            <w:rStyle w:val="Hyperlink"/>
          </w:rPr>
          <w:t xml:space="preserve">[2]</w:t>
        </w:r>
      </w:hyperlink>
      <w:hyperlink r:id="rId23">
        <w:r>
          <w:rPr>
            <w:rStyle w:val="Hyperlink"/>
          </w:rPr>
          <w:t xml:space="preserve">[3]</w:t>
        </w:r>
      </w:hyperlink>
      <w:r>
        <w:t xml:space="preserve">. Stacking</w:t>
      </w:r>
      <w:r>
        <w:t xml:space="preserve"> </w:t>
      </w:r>
      <w:r>
        <w:rPr>
          <w:i/>
          <w:iCs/>
        </w:rPr>
        <w:t xml:space="preserve">K</w:t>
      </w:r>
      <w:r>
        <w:t xml:space="preserve"> </w:t>
      </w:r>
      <w:r>
        <w:t xml:space="preserve">such layers allows the node to incorporate information from</w:t>
      </w:r>
      <w:r>
        <w:t xml:space="preserve"> </w:t>
      </w:r>
      <w:r>
        <w:rPr>
          <w:i/>
          <w:iCs/>
        </w:rPr>
        <w:t xml:space="preserve">K</w:t>
      </w:r>
      <w:r>
        <w:t xml:space="preserve">-hop neighbors. We choose max-pooling since it is a symmetric aggregator that worked effectively in GraphSAGE’s original experiments (mean vs max had no significant difference, and max-pool was used in practice)</w:t>
      </w:r>
      <w:hyperlink r:id="rId23">
        <w:r>
          <w:rPr>
            <w:rStyle w:val="Hyperlink"/>
          </w:rPr>
          <w:t xml:space="preserve">[3]</w:t>
        </w:r>
      </w:hyperlink>
      <w:r>
        <w:t xml:space="preserve">. The GraphSAGE encoder yields a latent embedding for each entity in the knowledge graph, even for unseen nodes (useful for inductive generalization). Key hyperparameters for this stage include the number of layers (e.g. 2 or 3 layers), embedding dimensionality (e.g. 128 or 256), neighbor sample sizes per layer (e.g. 25 neighbors at 1-hop, 10 at 2-hop as used by Hamilton</w:t>
      </w:r>
      <w:r>
        <w:t xml:space="preserve"> </w:t>
      </w:r>
      <w:r>
        <w:rPr>
          <w:i/>
          <w:iCs/>
        </w:rPr>
        <w:t xml:space="preserve">et al.</w:t>
      </w:r>
      <w:hyperlink r:id="rId24">
        <w:r>
          <w:rPr>
            <w:rStyle w:val="Hyperlink"/>
          </w:rPr>
          <w:t xml:space="preserve">[4]</w:t>
        </w:r>
      </w:hyperlink>
      <w:r>
        <w:t xml:space="preserve">), and the nonlinearity (ReLU). We use the max-pooling aggregator to ensure the encoder can capture arbitrary structural features (a MLP before pooling can learn any symmetric function in principle) while remaining order-invariant to neighbor permutations</w:t>
      </w:r>
      <w:hyperlink r:id="rId21">
        <w:r>
          <w:rPr>
            <w:rStyle w:val="Hyperlink"/>
          </w:rPr>
          <w:t xml:space="preserve">[1]</w:t>
        </w:r>
      </w:hyperlink>
      <w:r>
        <w:t xml:space="preserve">.</w:t>
      </w:r>
    </w:p>
    <w:bookmarkEnd w:id="25"/>
    <w:bookmarkStart w:id="29" w:name="contrastive-learning-graph-augmentation"/>
    <w:p>
      <w:pPr>
        <w:pStyle w:val="Heading3"/>
      </w:pPr>
      <w:r>
        <w:t xml:space="preserve">Contrastive Learning &amp; Graph Augmentation</w:t>
      </w:r>
    </w:p>
    <w:p>
      <w:pPr>
        <w:pStyle w:val="FirstParagraph"/>
      </w:pPr>
      <w:r>
        <w:rPr>
          <w:i/>
          <w:iCs/>
        </w:rPr>
        <w:t xml:space="preserve">To train the encoder without manual labels, S²-NS uses contrastive self-supervised objectives on augmented graph views.</w:t>
      </w:r>
      <w:r>
        <w:t xml:space="preserve"> </w:t>
      </w:r>
      <w:r>
        <w:t xml:space="preserve">In each training step, we generate two stochastic “views” of the local graph structure around a node and maximize the similarity of the node’s representation in these two views while pushing it away from other nodes’ representations. This follows the paradigm of</w:t>
      </w:r>
      <w:r>
        <w:t xml:space="preserve"> </w:t>
      </w:r>
      <w:r>
        <w:rPr>
          <w:b/>
          <w:bCs/>
        </w:rPr>
        <w:t xml:space="preserve">Graph Contrastive Learning (GCL)</w:t>
      </w:r>
      <w:hyperlink r:id="rId26">
        <w:r>
          <w:rPr>
            <w:rStyle w:val="Hyperlink"/>
          </w:rPr>
          <w:t xml:space="preserve">[5]</w:t>
        </w:r>
      </w:hyperlink>
      <w:r>
        <w:t xml:space="preserve">. We apply</w:t>
      </w:r>
      <w:r>
        <w:t xml:space="preserve"> </w:t>
      </w:r>
      <w:r>
        <w:rPr>
          <w:b/>
          <w:bCs/>
        </w:rPr>
        <w:t xml:space="preserve">graph augmentation</w:t>
      </w:r>
      <w:r>
        <w:t xml:space="preserve"> </w:t>
      </w:r>
      <w:r>
        <w:t xml:space="preserve">techniques to create the two views of a given graph or subgraph, injecting perturbations that the model must become invariant to</w:t>
      </w:r>
      <w:hyperlink r:id="rId26">
        <w:r>
          <w:rPr>
            <w:rStyle w:val="Hyperlink"/>
          </w:rPr>
          <w:t xml:space="preserve">[5]</w:t>
        </w:r>
      </w:hyperlink>
      <w:r>
        <w:t xml:space="preserve">. Common augmentation strategies include</w:t>
      </w:r>
      <w:r>
        <w:t xml:space="preserve"> </w:t>
      </w:r>
      <w:r>
        <w:rPr>
          <w:b/>
          <w:bCs/>
        </w:rPr>
        <w:t xml:space="preserve">node dropping, edge perturbation, subgraph sampling, and attribute masking</w:t>
      </w:r>
      <w:hyperlink r:id="rId27">
        <w:r>
          <w:rPr>
            <w:rStyle w:val="Hyperlink"/>
          </w:rPr>
          <w:t xml:space="preserve">[6]</w:t>
        </w:r>
      </w:hyperlink>
      <w:r>
        <w:t xml:space="preserve">. For example, we might randomly drop a fraction of nodes or edges from the neighborhood, mask some node features (if available), or sample a slightly different subgraph context. By maximizing agreement between the embeddings from two such distorted versions of the same underlying neighborhood, the GraphSAGE encoder learns to produce stable representations that capture the core structure and semantics of the graph rather than idiosyncrasies</w:t>
      </w:r>
      <w:hyperlink r:id="rId27">
        <w:r>
          <w:rPr>
            <w:rStyle w:val="Hyperlink"/>
          </w:rPr>
          <w:t xml:space="preserve">[6]</w:t>
        </w:r>
      </w:hyperlink>
      <w:r>
        <w:t xml:space="preserve">. We use a contrastive loss (like InfoNCE) which pulls an anchor node’s two augmented representations together (positive pair) and pushes apart representations of different nodes (negative pairs)</w:t>
      </w:r>
      <w:hyperlink r:id="rId28">
        <w:r>
          <w:rPr>
            <w:rStyle w:val="Hyperlink"/>
          </w:rPr>
          <w:t xml:space="preserve">[7]</w:t>
        </w:r>
      </w:hyperlink>
      <w:r>
        <w:t xml:space="preserve">. The training can leverage many negative samples efficiently since the embedding space is high-dimensional (some implementations treat all other nodes in the batch as negatives).</w:t>
      </w:r>
      <w:r>
        <w:t xml:space="preserve"> </w:t>
      </w:r>
      <w:r>
        <w:rPr>
          <w:b/>
          <w:bCs/>
        </w:rPr>
        <w:t xml:space="preserve">Key hyperparameters</w:t>
      </w:r>
      <w:r>
        <w:t xml:space="preserve"> </w:t>
      </w:r>
      <w:r>
        <w:t xml:space="preserve">in this stage include the temperature for the contrastive loss, the number of negatives (if using negative sampling), and the augmentation strengths (e.g. drop 10% of edges, mask 20% of features, etc.). Notably, augmentations should be chosen to reflect plausible noise in the domain’s graphs – for instance, in a knowledge graph of concepts one might perturb a few random relations or remove a concept to simulate missing links. The idea is to</w:t>
      </w:r>
      <w:r>
        <w:t xml:space="preserve"> </w:t>
      </w:r>
      <w:r>
        <w:rPr>
          <w:b/>
          <w:bCs/>
        </w:rPr>
        <w:t xml:space="preserve">learn embeddings that are invariant to modest graph perturbations</w:t>
      </w:r>
      <w:r>
        <w:t xml:space="preserve">, improving generalization to real-world noisy graphs</w:t>
      </w:r>
      <w:hyperlink r:id="rId27">
        <w:r>
          <w:rPr>
            <w:rStyle w:val="Hyperlink"/>
          </w:rPr>
          <w:t xml:space="preserve">[6]</w:t>
        </w:r>
      </w:hyperlink>
      <w:r>
        <w:t xml:space="preserve">.</w:t>
      </w:r>
    </w:p>
    <w:bookmarkEnd w:id="29"/>
    <w:bookmarkStart w:id="34" w:name="X6b5f3ebed1186d4c1ad41a83c8a5fbee572e894"/>
    <w:p>
      <w:pPr>
        <w:pStyle w:val="Heading3"/>
      </w:pPr>
      <w:r>
        <w:t xml:space="preserve">Latent Space Clustering and Outlier Pruning (DBSCAN)</w:t>
      </w:r>
    </w:p>
    <w:p>
      <w:pPr>
        <w:pStyle w:val="FirstParagraph"/>
      </w:pPr>
      <w:r>
        <w:rPr>
          <w:i/>
          <w:iCs/>
        </w:rPr>
        <w:t xml:space="preserve">After obtaining trained node embeddings, S²-NS performs density-based clustering to identify meaningful groups of entities and filter outliers.</w:t>
      </w:r>
      <w:r>
        <w:t xml:space="preserve"> </w:t>
      </w:r>
      <w:r>
        <w:t xml:space="preserve">We apply</w:t>
      </w:r>
      <w:r>
        <w:t xml:space="preserve"> </w:t>
      </w:r>
      <w:r>
        <w:rPr>
          <w:b/>
          <w:bCs/>
        </w:rPr>
        <w:t xml:space="preserve">DBSCAN</w:t>
      </w:r>
      <w:r>
        <w:t xml:space="preserve"> </w:t>
      </w:r>
      <w:r>
        <w:t xml:space="preserve">(Density-Based Spatial Clustering of Applications with Noise) to the set of node embeddings</w:t>
      </w:r>
      <w:hyperlink r:id="rId30">
        <w:r>
          <w:rPr>
            <w:rStyle w:val="Hyperlink"/>
          </w:rPr>
          <w:t xml:space="preserve">[8]</w:t>
        </w:r>
      </w:hyperlink>
      <w:r>
        <w:t xml:space="preserve">. DBSCAN clusters points that are closely packed in the vector space, while labeling points in sparse regions as</w:t>
      </w:r>
      <w:r>
        <w:t xml:space="preserve"> </w:t>
      </w:r>
      <w:r>
        <w:rPr>
          <w:i/>
          <w:iCs/>
        </w:rPr>
        <w:t xml:space="preserve">noise</w:t>
      </w:r>
      <w:r>
        <w:t xml:space="preserve"> </w:t>
      </w:r>
      <w:r>
        <w:t xml:space="preserve">(outliers)</w:t>
      </w:r>
      <w:hyperlink r:id="rId31">
        <w:r>
          <w:rPr>
            <w:rStyle w:val="Hyperlink"/>
          </w:rPr>
          <w:t xml:space="preserve">[9]</w:t>
        </w:r>
      </w:hyperlink>
      <w:r>
        <w:t xml:space="preserve">. The rationale is that in a well-embedded space, nodes that truly belong to a coherent concept or topic will end up near each other, whereas nodes representing irrelevant or spurious connections will not firmly belong to any cluster. DBSCAN has two main parameters: ε (epsilon) – the neighborhood radius to consider points as neighbors – and</w:t>
      </w:r>
      <w:r>
        <w:t xml:space="preserve"> </w:t>
      </w:r>
      <w:r>
        <w:rPr>
          <w:b/>
          <w:bCs/>
        </w:rPr>
        <w:t xml:space="preserve">minPts</w:t>
      </w:r>
      <w:r>
        <w:t xml:space="preserve"> </w:t>
      </w:r>
      <w:r>
        <w:t xml:space="preserve">– the minimum number of points required to form a dense region. We choose these parameters based on the data distribution (for example, using a k-distance graph to find an “elbow” for ε, or employing heuristics that look at distance distributions</w:t>
      </w:r>
      <w:hyperlink r:id="rId32">
        <w:r>
          <w:rPr>
            <w:rStyle w:val="Hyperlink"/>
          </w:rPr>
          <w:t xml:space="preserve">[10]</w:t>
        </w:r>
      </w:hyperlink>
      <w:r>
        <w:t xml:space="preserve">). Points that do not have at least</w:t>
      </w:r>
      <w:r>
        <w:t xml:space="preserve"> </w:t>
      </w:r>
      <w:r>
        <w:rPr>
          <w:i/>
          <w:iCs/>
        </w:rPr>
        <w:t xml:space="preserve">minPts</w:t>
      </w:r>
      <w:r>
        <w:t xml:space="preserve"> </w:t>
      </w:r>
      <w:r>
        <w:t xml:space="preserve">neighbors within ε are marked as noise and effectively pruned from the graph</w:t>
      </w:r>
      <w:hyperlink r:id="rId31">
        <w:r>
          <w:rPr>
            <w:rStyle w:val="Hyperlink"/>
          </w:rPr>
          <w:t xml:space="preserve">[9]</w:t>
        </w:r>
      </w:hyperlink>
      <w:r>
        <w:t xml:space="preserve">. The remaining points are grouped into clusters, each cluster presumably representing an underlying semantic group (e.g. a cluster of related educational concepts, a cluster of symptoms and diseases related to a syndrome, etc.). This step enhances</w:t>
      </w:r>
      <w:r>
        <w:t xml:space="preserve"> </w:t>
      </w:r>
      <w:r>
        <w:rPr>
          <w:b/>
          <w:bCs/>
        </w:rPr>
        <w:t xml:space="preserve">robustness</w:t>
      </w:r>
      <w:r>
        <w:t xml:space="preserve"> </w:t>
      </w:r>
      <w:r>
        <w:t xml:space="preserve">by filtering out potentially erroneous nodes/edges – for instance, an isolated concept that was loosely connected or an irrelevant case in a legal graph will appear as an outlier and can be removed or deprioritized. It also adds</w:t>
      </w:r>
      <w:r>
        <w:t xml:space="preserve"> </w:t>
      </w:r>
      <w:r>
        <w:rPr>
          <w:b/>
          <w:bCs/>
        </w:rPr>
        <w:t xml:space="preserve">interpretability</w:t>
      </w:r>
      <w:r>
        <w:t xml:space="preserve">: the clusters can be seen as high-level subtopics or modules in the knowledge graph. Prior research combining GNN embeddings with DBSCAN has shown effective separation of normal vs anomalous points, leveraging GNNs’ ability to capture structure and DBSCAN’s ability to flag noise</w:t>
      </w:r>
      <w:hyperlink r:id="rId30">
        <w:r>
          <w:rPr>
            <w:rStyle w:val="Hyperlink"/>
          </w:rPr>
          <w:t xml:space="preserve">[8]</w:t>
        </w:r>
      </w:hyperlink>
      <w:hyperlink r:id="rId33">
        <w:r>
          <w:rPr>
            <w:rStyle w:val="Hyperlink"/>
          </w:rPr>
          <w:t xml:space="preserve">[11]</w:t>
        </w:r>
      </w:hyperlink>
      <w:r>
        <w:t xml:space="preserve">. In our use, any node marked as noise by DBSCAN can either be dropped entirely or set aside for special handling (e.g., flagged to an LLM as a potential off-topic entity). The clustered nodes move on to the final structure recovery step.</w:t>
      </w:r>
    </w:p>
    <w:bookmarkEnd w:id="34"/>
    <w:bookmarkStart w:id="36" w:name="Xbc60ed7684423c2f39b55c0548226eaf7f1d4ff"/>
    <w:p>
      <w:pPr>
        <w:pStyle w:val="Heading3"/>
      </w:pPr>
      <w:r>
        <w:t xml:space="preserve">Symbolic Structure Recovery (Metric Closure + MST Solver)</w:t>
      </w:r>
    </w:p>
    <w:p>
      <w:pPr>
        <w:pStyle w:val="FirstParagraph"/>
      </w:pPr>
      <w:r>
        <w:rPr>
          <w:i/>
          <w:iCs/>
        </w:rPr>
        <w:t xml:space="preserve">In the final step, S²-NS uses a classical symbolic algorithm to reconstruct a simplified backbone of the knowledge graph that preserves essential relationships.</w:t>
      </w:r>
      <w:r>
        <w:t xml:space="preserve"> </w:t>
      </w:r>
      <w:r>
        <w:t xml:space="preserve">We first compute a</w:t>
      </w:r>
      <w:r>
        <w:t xml:space="preserve"> </w:t>
      </w:r>
      <w:r>
        <w:rPr>
          <w:b/>
          <w:bCs/>
        </w:rPr>
        <w:t xml:space="preserve">metric closure</w:t>
      </w:r>
      <w:r>
        <w:t xml:space="preserve"> </w:t>
      </w:r>
      <w:r>
        <w:t xml:space="preserve">over the clustered nodes – effectively calculating pairwise distances or similarities between all nodes (for example, using the learned embedding distances as a metric for how “far apart” two entities are in the knowledge space). This produces a fully-connected weighted graph (complete graph) where edge weights denote the distance (or inverse similarity) between every pair of entities. Using this complete graph, we then extract a</w:t>
      </w:r>
      <w:r>
        <w:t xml:space="preserve"> </w:t>
      </w:r>
      <w:r>
        <w:rPr>
          <w:b/>
          <w:bCs/>
        </w:rPr>
        <w:t xml:space="preserve">Minimal Spanning Tree (MST)</w:t>
      </w:r>
      <w:r>
        <w:t xml:space="preserve"> </w:t>
      </w:r>
      <w:r>
        <w:t xml:space="preserve">that spans all the nodes (or all clusters) with minimal total distance. The MST is a tree structure that connects all nodes such that the sum of edge weights is minimized, ensuring that each node is linked through the most pertinent connection available. Intuitively, this recovers the</w:t>
      </w:r>
      <w:r>
        <w:t xml:space="preserve"> </w:t>
      </w:r>
      <w:r>
        <w:rPr>
          <w:i/>
          <w:iCs/>
        </w:rPr>
        <w:t xml:space="preserve">backbone</w:t>
      </w:r>
      <w:r>
        <w:t xml:space="preserve"> </w:t>
      </w:r>
      <w:r>
        <w:t xml:space="preserve">of the knowledge graph – the strongest, most direct relationships that connect the graph’s elements</w:t>
      </w:r>
      <w:hyperlink r:id="rId35">
        <w:r>
          <w:rPr>
            <w:rStyle w:val="Hyperlink"/>
          </w:rPr>
          <w:t xml:space="preserve">[12]</w:t>
        </w:r>
      </w:hyperlink>
      <w:r>
        <w:t xml:space="preserve">. Any edge in the original graph that is not on some shortest path between two nodes will be dropped in this process</w:t>
      </w:r>
      <w:hyperlink r:id="rId35">
        <w:r>
          <w:rPr>
            <w:rStyle w:val="Hyperlink"/>
          </w:rPr>
          <w:t xml:space="preserve">[12]</w:t>
        </w:r>
      </w:hyperlink>
      <w:r>
        <w:t xml:space="preserve">, which prunes redundant or weaker connections. The MST (or union of MSTs if the graph was originally disconnected by domain, etc.) yields a structured representation that is</w:t>
      </w:r>
      <w:r>
        <w:t xml:space="preserve"> </w:t>
      </w:r>
      <w:r>
        <w:rPr>
          <w:b/>
          <w:bCs/>
        </w:rPr>
        <w:t xml:space="preserve">acyclic, interpretable, and domain-agnostic</w:t>
      </w:r>
      <w:r>
        <w:t xml:space="preserve">. It can be seen as a hierarchy or a tree of concepts/facts that the agent should focus on. In cases where the underlying domain suggests a hierarchy (e.g. a curriculum graph or a disease taxonomy), the MST will tend to align with that, since it’s effectively picking one best link for each node. If the knowledge graph has multiple types of relations, one might weight the distances accordingly (for example, a direct prerequisite relation might be given a shorter distance than a loosely correlated relation). We note that in network science, similar approaches are used to extract graph backbones that preserve shortest paths and connectivity while simplifying the network</w:t>
      </w:r>
      <w:hyperlink r:id="rId35">
        <w:r>
          <w:rPr>
            <w:rStyle w:val="Hyperlink"/>
          </w:rPr>
          <w:t xml:space="preserve">[12]</w:t>
        </w:r>
      </w:hyperlink>
      <w:r>
        <w:t xml:space="preserve">. The</w:t>
      </w:r>
      <w:r>
        <w:t xml:space="preserve"> </w:t>
      </w:r>
      <w:r>
        <w:rPr>
          <w:b/>
          <w:bCs/>
        </w:rPr>
        <w:t xml:space="preserve">metric backbone</w:t>
      </w:r>
      <w:r>
        <w:t xml:space="preserve"> </w:t>
      </w:r>
      <w:r>
        <w:t xml:space="preserve">of a weighted graph is the union of all shortest paths, which retains crucial inter-community bridges and connectivity</w:t>
      </w:r>
      <w:hyperlink r:id="rId35">
        <w:r>
          <w:rPr>
            <w:rStyle w:val="Hyperlink"/>
          </w:rPr>
          <w:t xml:space="preserve">[12]</w:t>
        </w:r>
      </w:hyperlink>
      <w:r>
        <w:t xml:space="preserve">. The MST is an even simpler structure that guarantees connectivity with minimal redundancy. By applying these symbolic algorithms, S²-NS ensures that the final knowledge structure used for reasoning is not just a black-box embedding, but a clear map of relationships – one that can be traversed, explained, or verified by logic. This is especially valuable for an AI tutor or advisor, which can present or utilize this structure in explanations.</w:t>
      </w:r>
    </w:p>
    <w:bookmarkEnd w:id="36"/>
    <w:bookmarkEnd w:id="37"/>
    <w:bookmarkStart w:id="40" w:name="X9347a04e2207459d62b32c6a017a0607b88a46e"/>
    <w:p>
      <w:pPr>
        <w:pStyle w:val="Heading2"/>
      </w:pPr>
      <w:r>
        <w:t xml:space="preserve">Domain-Agnostic Multi-Hop Reasoning with S²-NS</w:t>
      </w:r>
    </w:p>
    <w:p>
      <w:pPr>
        <w:pStyle w:val="FirstParagraph"/>
      </w:pPr>
      <w:r>
        <w:t xml:space="preserve">A key strength of the S²-NS solver is its</w:t>
      </w:r>
      <w:r>
        <w:t xml:space="preserve"> </w:t>
      </w:r>
      <w:r>
        <w:rPr>
          <w:b/>
          <w:bCs/>
        </w:rPr>
        <w:t xml:space="preserve">domain-agnostic design</w:t>
      </w:r>
      <w:r>
        <w:t xml:space="preserve">. It does not rely on any hand-engineered domain knowledge – it learns structure from the graph itself via self-supervision and uses generic algorithms (clustering, spanning tree) that apply to any graph data. This makes it suitable for a variety of domains where knowledge is naturally represented as a graph of entities and relations. Whether the nodes represent math concepts, medical findings, or legal cases, the same S²-NS pipeline can be used to ground multi-hop reasoning on those nodes.</w:t>
      </w:r>
    </w:p>
    <w:p>
      <w:pPr>
        <w:pStyle w:val="BodyText"/>
      </w:pPr>
      <w:r>
        <w:rPr>
          <w:b/>
          <w:bCs/>
        </w:rPr>
        <w:t xml:space="preserve">Grounding Multi-Hop Reasoning:</w:t>
      </w:r>
      <w:r>
        <w:t xml:space="preserve"> </w:t>
      </w:r>
      <w:r>
        <w:t xml:space="preserve">In complex conversational tasks, an agent often needs to perform multi-hop reasoning – i.e. chain together multiple pieces of information or traverse a graph of facts to answer a query. S²-NS provides a grounded way to do this over a knowledge graph. Rather than relying purely on an LLM’s parametric knowledge (which might be incomplete or prone to hallucination), the agent uses the S²-NS-derived structure to decide which hops to take. The GraphSAGE embeddings ensure the agent has a</w:t>
      </w:r>
      <w:r>
        <w:t xml:space="preserve"> </w:t>
      </w:r>
      <w:r>
        <w:rPr>
          <w:i/>
          <w:iCs/>
        </w:rPr>
        <w:t xml:space="preserve">holistic view</w:t>
      </w:r>
      <w:r>
        <w:t xml:space="preserve"> </w:t>
      </w:r>
      <w:r>
        <w:t xml:space="preserve">of the graph’s connectivity (thanks to the contrastive training, related entities are embedded nearby even if the graph is noisy). The clustering step ensures that the agent’s reasoning focuses on a coherent subset of the graph (e.g. stays within a topic area), thereby reducing distraction from irrelevant branches. And the MST backbone ensures there is a clear, minimal path connecting the relevant entities, facilitating logical multi-step traversal. This combination is robust to noise – even if the original knowledge graph had erroneous links or extraneous concepts, many of those would be filtered out or de-emphasized by the S²-NS process (either flagged as outliers by DBSCAN or omitted from the spanning tree).</w:t>
      </w:r>
    </w:p>
    <w:p>
      <w:pPr>
        <w:pStyle w:val="BodyText"/>
      </w:pPr>
      <w:r>
        <w:rPr>
          <w:b/>
          <w:bCs/>
        </w:rPr>
        <w:t xml:space="preserve">Robustness:</w:t>
      </w:r>
      <w:r>
        <w:t xml:space="preserve"> </w:t>
      </w:r>
      <w:r>
        <w:t xml:space="preserve">The neuro-symbolic approach improves robustness in several ways. First, the</w:t>
      </w:r>
      <w:r>
        <w:t xml:space="preserve"> </w:t>
      </w:r>
      <w:r>
        <w:rPr>
          <w:b/>
          <w:bCs/>
        </w:rPr>
        <w:t xml:space="preserve">self-supervised contrastive training</w:t>
      </w:r>
      <w:r>
        <w:t xml:space="preserve"> </w:t>
      </w:r>
      <w:r>
        <w:t xml:space="preserve">makes the system less dependent on exact graph structure and more on general connectivity patterns; it learns to recognize which nodes “should” be similar by seeing multiple augmented versions, thus minor errors in the graph don’t completely throw it off. Second, the</w:t>
      </w:r>
      <w:r>
        <w:t xml:space="preserve"> </w:t>
      </w:r>
      <w:r>
        <w:rPr>
          <w:b/>
          <w:bCs/>
        </w:rPr>
        <w:t xml:space="preserve">DBSCAN clustering</w:t>
      </w:r>
      <w:r>
        <w:t xml:space="preserve"> </w:t>
      </w:r>
      <w:r>
        <w:t xml:space="preserve">is resilient to noise – by definition it treats scattered points as noise and focuses on dense regions</w:t>
      </w:r>
      <w:hyperlink r:id="rId31">
        <w:r>
          <w:rPr>
            <w:rStyle w:val="Hyperlink"/>
          </w:rPr>
          <w:t xml:space="preserve">[9]</w:t>
        </w:r>
      </w:hyperlink>
      <w:r>
        <w:t xml:space="preserve">. This means if some random connections caused a node to be erroneously linked, that node likely won’t form a dense cluster with others and can be identified as an outlier. Third, the</w:t>
      </w:r>
      <w:r>
        <w:t xml:space="preserve"> </w:t>
      </w:r>
      <w:r>
        <w:rPr>
          <w:b/>
          <w:bCs/>
        </w:rPr>
        <w:t xml:space="preserve">symbolic solver</w:t>
      </w:r>
      <w:r>
        <w:t xml:space="preserve"> </w:t>
      </w:r>
      <w:r>
        <w:t xml:space="preserve">imposes global consistency – the MST ensures there’s a single connected explanation structure, which inherently avoids looping through irrelevant detours or including weak links. In an educational setting, for example, this could prevent the tutor agent from introducing a concept that is only tangentially related to the student’s learning path. In a medical setting, it can prevent jumping to an unrelated symptom that doesn’t fit the cluster of a patient’s findings.</w:t>
      </w:r>
    </w:p>
    <w:p>
      <w:pPr>
        <w:pStyle w:val="BodyText"/>
      </w:pPr>
      <w:r>
        <w:t xml:space="preserve">Notably, by integrating neural and symbolic parts, S²-NS leverages the strengths of each: neural embeddings capture nuanced similarity and</w:t>
      </w:r>
      <w:r>
        <w:t xml:space="preserve"> </w:t>
      </w:r>
      <w:r>
        <w:rPr>
          <w:b/>
          <w:bCs/>
        </w:rPr>
        <w:t xml:space="preserve">latent relationships</w:t>
      </w:r>
      <w:r>
        <w:t xml:space="preserve"> </w:t>
      </w:r>
      <w:r>
        <w:t xml:space="preserve">beyond direct links, while symbolic algorithms enforce</w:t>
      </w:r>
      <w:r>
        <w:t xml:space="preserve"> </w:t>
      </w:r>
      <w:r>
        <w:rPr>
          <w:b/>
          <w:bCs/>
        </w:rPr>
        <w:t xml:space="preserve">logical consistency</w:t>
      </w:r>
      <w:r>
        <w:t xml:space="preserve"> </w:t>
      </w:r>
      <w:r>
        <w:t xml:space="preserve">and</w:t>
      </w:r>
      <w:r>
        <w:t xml:space="preserve"> </w:t>
      </w:r>
      <w:r>
        <w:rPr>
          <w:b/>
          <w:bCs/>
        </w:rPr>
        <w:t xml:space="preserve">interpretability</w:t>
      </w:r>
      <w:hyperlink r:id="rId33">
        <w:r>
          <w:rPr>
            <w:rStyle w:val="Hyperlink"/>
          </w:rPr>
          <w:t xml:space="preserve">[11]</w:t>
        </w:r>
      </w:hyperlink>
      <w:r>
        <w:t xml:space="preserve">. This echoes findings that hybrid GNN + clustering methods can improve accuracy and interpretability in anomaly detection and other tasks</w:t>
      </w:r>
      <w:hyperlink r:id="rId33">
        <w:r>
          <w:rPr>
            <w:rStyle w:val="Hyperlink"/>
          </w:rPr>
          <w:t xml:space="preserve">[11]</w:t>
        </w:r>
      </w:hyperlink>
      <w:r>
        <w:t xml:space="preserve"> </w:t>
      </w:r>
      <w:r>
        <w:t xml:space="preserve">– here, we apply the concept to reasoning over knowledge. As a result, the conversational agent can be</w:t>
      </w:r>
      <w:r>
        <w:t xml:space="preserve"> </w:t>
      </w:r>
      <w:r>
        <w:rPr>
          <w:b/>
          <w:bCs/>
        </w:rPr>
        <w:t xml:space="preserve">more trustworthy</w:t>
      </w:r>
      <w:r>
        <w:t xml:space="preserve">: it bases its multi-hop reasoning on a structure that is derived from data but also checkable.</w:t>
      </w:r>
    </w:p>
    <w:p>
      <w:pPr>
        <w:pStyle w:val="BodyText"/>
      </w:pPr>
      <w:r>
        <w:rPr>
          <w:b/>
          <w:bCs/>
        </w:rPr>
        <w:t xml:space="preserve">Interpretability:</w:t>
      </w:r>
      <w:r>
        <w:t xml:space="preserve"> </w:t>
      </w:r>
      <w:r>
        <w:t xml:space="preserve">The neuro-symbolic architecture is inherently more explainable than a purely end-to-end neural model. Each component provides hooks for interpretation. For instance, the DBSCAN clustering can be surfaced as “these items seem to form a group about X topic,” and the MST edges can be interpreted as specific relations or steps in a reasoning chain. Because S²-NS yields an explicit graph (or tree) of relationships, a conversational agent can explain its reasoning by referencing that graph (“I connected concept A to concept B because they cluster together in topic Y, and B is linked to C as the closest related concept, which answers your question”). In domains like law and education, such transparent reasoning is crucial. Neuro-symbolic AI approaches are often motivated by explainability</w:t>
      </w:r>
      <w:hyperlink r:id="rId38">
        <w:r>
          <w:rPr>
            <w:rStyle w:val="Hyperlink"/>
          </w:rPr>
          <w:t xml:space="preserve">[13]</w:t>
        </w:r>
      </w:hyperlink>
      <w:hyperlink r:id="rId39">
        <w:r>
          <w:rPr>
            <w:rStyle w:val="Hyperlink"/>
          </w:rPr>
          <w:t xml:space="preserve">[14]</w:t>
        </w:r>
      </w:hyperlink>
      <w:r>
        <w:t xml:space="preserve">, and S²-NS fits that trend by ensuring the final reasoning path is symbolic. Even the embeddings can be interpreted via cluster labels or nearest neighbors, giving some semantic meaning to the latent space.</w:t>
      </w:r>
    </w:p>
    <w:p>
      <w:pPr>
        <w:pStyle w:val="BodyText"/>
      </w:pPr>
      <w:r>
        <w:t xml:space="preserve">Finally, the domain-agnostic nature means that S²-NS does not need re-engineering when moving from one domain to another. It treats the knowledge graph as a generic graph: the same GraphSAGE architecture can encode a graph of textbook concepts or a graph of patient symptoms. Contrastive graph learning methods have been shown to generalize well across disparate graph types</w:t>
      </w:r>
      <w:hyperlink r:id="rId26">
        <w:r>
          <w:rPr>
            <w:rStyle w:val="Hyperlink"/>
          </w:rPr>
          <w:t xml:space="preserve">[5]</w:t>
        </w:r>
      </w:hyperlink>
      <w:r>
        <w:t xml:space="preserve">, and our architecture inherits that generality. The only domain-specific inputs are the raw knowledge graphs themselves (which could be constructed from, say, an educational curriculum, a medical ontology, or a legal citation database). As long as we can represent the domain knowledge as a graph, S²-NS can consume it.</w:t>
      </w:r>
    </w:p>
    <w:bookmarkEnd w:id="40"/>
    <w:bookmarkStart w:id="51" w:name="Xc5410aeb621601f346b35557ed62b8936efe552"/>
    <w:p>
      <w:pPr>
        <w:pStyle w:val="Heading2"/>
      </w:pPr>
      <w:r>
        <w:t xml:space="preserve">Example Conversational Scenarios and Benefits</w:t>
      </w:r>
    </w:p>
    <w:p>
      <w:pPr>
        <w:pStyle w:val="FirstParagraph"/>
      </w:pPr>
      <w:r>
        <w:t xml:space="preserve">To illustrate how S²-NS improves robustness and interpretability, let’s consider a few multi-step conversational scenarios in different domains:</w:t>
      </w:r>
    </w:p>
    <w:bookmarkStart w:id="43" w:name="X7249656360169c20aad3c99de2780cd67be9d70"/>
    <w:p>
      <w:pPr>
        <w:pStyle w:val="Heading3"/>
      </w:pPr>
      <w:r>
        <w:rPr>
          <w:b/>
          <w:bCs/>
        </w:rPr>
        <w:t xml:space="preserve">Scenario 1: Curriculum Planning by an AI Tutor</w:t>
      </w:r>
    </w:p>
    <w:p>
      <w:pPr>
        <w:pStyle w:val="FirstParagraph"/>
      </w:pPr>
      <w:r>
        <w:rPr>
          <w:b/>
          <w:bCs/>
        </w:rPr>
        <w:t xml:space="preserve">Context:</w:t>
      </w:r>
      <w:r>
        <w:t xml:space="preserve"> </w:t>
      </w:r>
      <w:r>
        <w:t xml:space="preserve">A student using an AI tutor asks for guidance on learning a complex topic (e.g.</w:t>
      </w:r>
      <w:r>
        <w:t xml:space="preserve"> </w:t>
      </w:r>
      <w:r>
        <w:rPr>
          <w:i/>
          <w:iCs/>
        </w:rPr>
        <w:t xml:space="preserve">“I want to master calculus, where should I start?”</w:t>
      </w:r>
      <w:r>
        <w:t xml:space="preserve">). The backend has a knowledge graph of educational concepts (from basic arithmetic to advanced calculus), including prerequisite relationships and topic groupings (possibly derived from a curriculum standard).</w:t>
      </w:r>
    </w:p>
    <w:p>
      <w:pPr>
        <w:pStyle w:val="BodyText"/>
      </w:pPr>
      <w:r>
        <w:rPr>
          <w:b/>
          <w:bCs/>
        </w:rPr>
        <w:t xml:space="preserve">How S²-NS Helps:</w:t>
      </w:r>
      <w:r>
        <w:t xml:space="preserve"> </w:t>
      </w:r>
      <w:r>
        <w:t xml:space="preserve">The S²-NS solver would encode this educational knowledge graph such that related concepts cluster (e.g. algebra concepts together, calculus concepts together, etc.) and spurious connections (irrelevant topics) are pruned. When planning a curriculum, the tutor agent can query the S²-NS structure to find a path of concepts leading to the goal topic. For example,</w:t>
      </w:r>
      <w:r>
        <w:t xml:space="preserve"> </w:t>
      </w:r>
      <w:r>
        <w:rPr>
          <w:i/>
          <w:iCs/>
        </w:rPr>
        <w:t xml:space="preserve">“calculus”</w:t>
      </w:r>
      <w:r>
        <w:t xml:space="preserve"> </w:t>
      </w:r>
      <w:r>
        <w:t xml:space="preserve">might cluster with</w:t>
      </w:r>
      <w:r>
        <w:t xml:space="preserve"> </w:t>
      </w:r>
      <w:r>
        <w:rPr>
          <w:i/>
          <w:iCs/>
        </w:rPr>
        <w:t xml:space="preserve">“limits”</w:t>
      </w:r>
      <w:r>
        <w:t xml:space="preserve"> </w:t>
      </w:r>
      <w:r>
        <w:t xml:space="preserve">and</w:t>
      </w:r>
      <w:r>
        <w:t xml:space="preserve"> </w:t>
      </w:r>
      <w:r>
        <w:rPr>
          <w:i/>
          <w:iCs/>
        </w:rPr>
        <w:t xml:space="preserve">“derivatives”</w:t>
      </w:r>
      <w:r>
        <w:t xml:space="preserve">, which in turn connect to</w:t>
      </w:r>
      <w:r>
        <w:t xml:space="preserve"> </w:t>
      </w:r>
      <w:r>
        <w:rPr>
          <w:i/>
          <w:iCs/>
        </w:rPr>
        <w:t xml:space="preserve">“algebra”</w:t>
      </w:r>
      <w:r>
        <w:t xml:space="preserve"> </w:t>
      </w:r>
      <w:r>
        <w:t xml:space="preserve">and</w:t>
      </w:r>
      <w:r>
        <w:t xml:space="preserve"> </w:t>
      </w:r>
      <w:r>
        <w:rPr>
          <w:i/>
          <w:iCs/>
        </w:rPr>
        <w:t xml:space="preserve">“trigonometry”</w:t>
      </w:r>
      <w:r>
        <w:t xml:space="preserve"> </w:t>
      </w:r>
      <w:r>
        <w:t xml:space="preserve">as prerequisites via the MST backbone. The tutor could then present a learning plan following these connections: first firm up algebra, then learn about functions and limits, then derivatives, and so on – a logical progression extracted from the graph. Because S²-NS has enforced a tree-structured prerequisite map, the plan is free of cyclical or tangential detours. This approach is far more reliable than a large language model guessing a sequence; it is grounded in the</w:t>
      </w:r>
      <w:r>
        <w:t xml:space="preserve"> </w:t>
      </w:r>
      <w:r>
        <w:rPr>
          <w:b/>
          <w:bCs/>
        </w:rPr>
        <w:t xml:space="preserve">structure of actual curricula</w:t>
      </w:r>
      <w:r>
        <w:t xml:space="preserve">. In fact, efforts in AI education have emphasized linking tutors to curriculum knowledge graphs so that their suggestions align with standards and proven learning sequences</w:t>
      </w:r>
      <w:hyperlink r:id="rId41">
        <w:r>
          <w:rPr>
            <w:rStyle w:val="Hyperlink"/>
          </w:rPr>
          <w:t xml:space="preserve">[15]</w:t>
        </w:r>
      </w:hyperlink>
      <w:hyperlink r:id="rId42">
        <w:r>
          <w:rPr>
            <w:rStyle w:val="Hyperlink"/>
          </w:rPr>
          <w:t xml:space="preserve">[16]</w:t>
        </w:r>
      </w:hyperlink>
      <w:r>
        <w:t xml:space="preserve">. By using S²-NS, the tutor’s recommendations are anchored to a knowledge graph of learning standards, ensuring the AI’s advice is instructionally accurate</w:t>
      </w:r>
      <w:hyperlink r:id="rId41">
        <w:r>
          <w:rPr>
            <w:rStyle w:val="Hyperlink"/>
          </w:rPr>
          <w:t xml:space="preserve">[15]</w:t>
        </w:r>
      </w:hyperlink>
      <w:r>
        <w:t xml:space="preserve">. The interpretability is evident: the tutor can explain</w:t>
      </w:r>
      <w:r>
        <w:t xml:space="preserve"> </w:t>
      </w:r>
      <w:r>
        <w:rPr>
          <w:i/>
          <w:iCs/>
        </w:rPr>
        <w:t xml:space="preserve">why</w:t>
      </w:r>
      <w:r>
        <w:t xml:space="preserve"> </w:t>
      </w:r>
      <w:r>
        <w:t xml:space="preserve">it recommends a given step (“You should study</w:t>
      </w:r>
      <w:r>
        <w:t xml:space="preserve"> </w:t>
      </w:r>
      <w:r>
        <w:rPr>
          <w:b/>
          <w:bCs/>
        </w:rPr>
        <w:t xml:space="preserve">limits</w:t>
      </w:r>
      <w:r>
        <w:t xml:space="preserve"> </w:t>
      </w:r>
      <w:r>
        <w:t xml:space="preserve">next because it’s a foundational concept needed to understand</w:t>
      </w:r>
      <w:r>
        <w:t xml:space="preserve"> </w:t>
      </w:r>
      <w:r>
        <w:rPr>
          <w:b/>
          <w:bCs/>
        </w:rPr>
        <w:t xml:space="preserve">derivatives</w:t>
      </w:r>
      <w:r>
        <w:t xml:space="preserve">, which are part of calculus”). Robustness comes from focusing only on the cluster of math concepts relevant to calculus – the model won’t be thrown off by, say, a loosely connected concept from statistics, because that likely was marked as an outlier or is not on the spanning tree for calculus. This scenario shows S²-NS enabling</w:t>
      </w:r>
      <w:r>
        <w:t xml:space="preserve"> </w:t>
      </w:r>
      <w:r>
        <w:rPr>
          <w:b/>
          <w:bCs/>
        </w:rPr>
        <w:t xml:space="preserve">grounded multi-hop reasoning</w:t>
      </w:r>
      <w:r>
        <w:t xml:space="preserve">: from broad goal to prerequisite topics to specific concepts, each “hop” is along a verified link in the knowledge graph, making the AI tutor both reliable and transparent in its curriculum planning.</w:t>
      </w:r>
    </w:p>
    <w:bookmarkEnd w:id="43"/>
    <w:bookmarkStart w:id="46" w:name="Xd6008098c22ff12214567bbe776e0faa10c8c63"/>
    <w:p>
      <w:pPr>
        <w:pStyle w:val="Heading3"/>
      </w:pPr>
      <w:r>
        <w:rPr>
          <w:b/>
          <w:bCs/>
        </w:rPr>
        <w:t xml:space="preserve">Scenario 2: Symptom Reasoning by a Healthcare Assistant</w:t>
      </w:r>
    </w:p>
    <w:p>
      <w:pPr>
        <w:pStyle w:val="FirstParagraph"/>
      </w:pPr>
      <w:r>
        <w:rPr>
          <w:b/>
          <w:bCs/>
        </w:rPr>
        <w:t xml:space="preserve">Context:</w:t>
      </w:r>
      <w:r>
        <w:t xml:space="preserve"> </w:t>
      </w:r>
      <w:r>
        <w:t xml:space="preserve">A patient is interacting with an AI health assistant, describing a list of symptoms (e.g.</w:t>
      </w:r>
      <w:r>
        <w:t xml:space="preserve"> </w:t>
      </w:r>
      <w:r>
        <w:rPr>
          <w:i/>
          <w:iCs/>
        </w:rPr>
        <w:t xml:space="preserve">“I have a fever, rash, and joint pain”</w:t>
      </w:r>
      <w:r>
        <w:t xml:space="preserve">). The assistant needs to reason through possible conditions, ask follow-up questions, and avoid missing any critical connection. The medical knowledge base can be seen as a graph: symptoms, diseases, body systems, medications all connected (for instance, symptom–disease links, disease–disease relations through shared causes, etc.). This graph is typically</w:t>
      </w:r>
      <w:r>
        <w:t xml:space="preserve"> </w:t>
      </w:r>
      <w:r>
        <w:rPr>
          <w:b/>
          <w:bCs/>
        </w:rPr>
        <w:t xml:space="preserve">noisy and rich</w:t>
      </w:r>
      <w:r>
        <w:t xml:space="preserve"> </w:t>
      </w:r>
      <w:r>
        <w:t xml:space="preserve">– many diseases share symptoms, and medical texts contain contradictory or extraneous associations.</w:t>
      </w:r>
    </w:p>
    <w:p>
      <w:pPr>
        <w:pStyle w:val="BodyText"/>
      </w:pPr>
      <w:r>
        <w:rPr>
          <w:b/>
          <w:bCs/>
        </w:rPr>
        <w:t xml:space="preserve">How S²-NS Helps:</w:t>
      </w:r>
      <w:r>
        <w:t xml:space="preserve"> </w:t>
      </w:r>
      <w:r>
        <w:t xml:space="preserve">Using S²-NS, the assistant first encodes the medical knowledge graph (e.g. using a resource like SNOMED CT or UMLS). Thanks to contrastive training, the embeddings of medically related entities (symptoms that often co-occur, or diseases in the same differential) end up close together. For example,</w:t>
      </w:r>
      <w:r>
        <w:t xml:space="preserve"> </w:t>
      </w:r>
      <w:r>
        <w:rPr>
          <w:i/>
          <w:iCs/>
        </w:rPr>
        <w:t xml:space="preserve">“fever”</w:t>
      </w:r>
      <w:r>
        <w:t xml:space="preserve">,</w:t>
      </w:r>
      <w:r>
        <w:t xml:space="preserve"> </w:t>
      </w:r>
      <w:r>
        <w:rPr>
          <w:i/>
          <w:iCs/>
        </w:rPr>
        <w:t xml:space="preserve">“rash”</w:t>
      </w:r>
      <w:r>
        <w:t xml:space="preserve">, and</w:t>
      </w:r>
      <w:r>
        <w:t xml:space="preserve"> </w:t>
      </w:r>
      <w:r>
        <w:rPr>
          <w:i/>
          <w:iCs/>
        </w:rPr>
        <w:t xml:space="preserve">“joint pain”</w:t>
      </w:r>
      <w:r>
        <w:t xml:space="preserve"> </w:t>
      </w:r>
      <w:r>
        <w:t xml:space="preserve">might cluster near diseases like</w:t>
      </w:r>
      <w:r>
        <w:t xml:space="preserve"> </w:t>
      </w:r>
      <w:r>
        <w:rPr>
          <w:i/>
          <w:iCs/>
        </w:rPr>
        <w:t xml:space="preserve">“lupus”</w:t>
      </w:r>
      <w:r>
        <w:t xml:space="preserve"> </w:t>
      </w:r>
      <w:r>
        <w:t xml:space="preserve">or</w:t>
      </w:r>
      <w:r>
        <w:t xml:space="preserve"> </w:t>
      </w:r>
      <w:r>
        <w:rPr>
          <w:i/>
          <w:iCs/>
        </w:rPr>
        <w:t xml:space="preserve">“Lyme disease”</w:t>
      </w:r>
      <w:r>
        <w:t xml:space="preserve"> </w:t>
      </w:r>
      <w:r>
        <w:t xml:space="preserve">that present with those symptoms, whereas an unrelated symptom (like</w:t>
      </w:r>
      <w:r>
        <w:t xml:space="preserve"> </w:t>
      </w:r>
      <w:r>
        <w:rPr>
          <w:i/>
          <w:iCs/>
        </w:rPr>
        <w:t xml:space="preserve">“blurred vision”</w:t>
      </w:r>
      <w:r>
        <w:t xml:space="preserve">) would be far apart or flagged as an outlier if it’s not part of the syndrome. Indeed, a structured medical knowledge graph that links diseases and symptoms with standardized relations (e.g.</w:t>
      </w:r>
      <w:r>
        <w:t xml:space="preserve"> </w:t>
      </w:r>
      <w:r>
        <w:rPr>
          <w:i/>
          <w:iCs/>
        </w:rPr>
        <w:t xml:space="preserve">causative agent</w:t>
      </w:r>
      <w:r>
        <w:t xml:space="preserve">,</w:t>
      </w:r>
      <w:r>
        <w:t xml:space="preserve"> </w:t>
      </w:r>
      <w:r>
        <w:rPr>
          <w:i/>
          <w:iCs/>
        </w:rPr>
        <w:t xml:space="preserve">manifestation of</w:t>
      </w:r>
      <w:r>
        <w:t xml:space="preserve">) enables multi-hop reasoning and consistent terminology in exactly this way</w:t>
      </w:r>
      <w:hyperlink r:id="rId44">
        <w:r>
          <w:rPr>
            <w:rStyle w:val="Hyperlink"/>
          </w:rPr>
          <w:t xml:space="preserve">[17]</w:t>
        </w:r>
      </w:hyperlink>
      <w:r>
        <w:t xml:space="preserve">. S²-NS’s DBSCAN step would form clusters such as a set of symptoms and findings that correspond to a particular condition, improving the system’s ability to focus on one hypothesis at a time. When the assistant reasons, it can follow the MST of these clusters: perhaps connecting the patient’s symptom cluster to a candidate diagnosis node via the shortest path. The</w:t>
      </w:r>
      <w:r>
        <w:t xml:space="preserve"> </w:t>
      </w:r>
      <w:r>
        <w:rPr>
          <w:b/>
          <w:bCs/>
        </w:rPr>
        <w:t xml:space="preserve">classical solver ensures a logical chain</w:t>
      </w:r>
      <w:r>
        <w:t xml:space="preserve">: for instance, Symptom A –&gt; Disease X –&gt; Test Y (a path indicating that given Symptom A, Disease X is likely and Test Y is a logical next step to confirm). This prevents the assistant from making an illogical jump. If the language model behind the assistant considered a wrong link (hallucinating a connection between the rash and some unrelated disease), the S²-NS structure can catch that as it would not appear on the graph or would be pruned as noise. Instead, the assistant sticks to paths present in the knowledge graph. Recent research has shown that integrating structured medical knowledge can significantly improve the consistency of AI diagnostic reasoning</w:t>
      </w:r>
      <w:hyperlink r:id="rId45">
        <w:r>
          <w:rPr>
            <w:rStyle w:val="Hyperlink"/>
          </w:rPr>
          <w:t xml:space="preserve">[18]</w:t>
        </w:r>
      </w:hyperlink>
      <w:r>
        <w:t xml:space="preserve">. In our pipeline, after applying S²-NS, the LLM’s outputs would be more</w:t>
      </w:r>
      <w:r>
        <w:t xml:space="preserve"> </w:t>
      </w:r>
      <w:r>
        <w:rPr>
          <w:b/>
          <w:bCs/>
        </w:rPr>
        <w:t xml:space="preserve">clinically valid and interpretable</w:t>
      </w:r>
      <w:r>
        <w:t xml:space="preserve">, since it can trace the reasoning through the knowledge graph (e.g. “fever + rash + joint pain cluster together, which points to Disease X; hence I’ll ask if you also have symptom Z which often accompanies those” – a chain of thought grounded in the KG). The patient or a clinician can be shown the reasoning tree, improving trust. Overall, the S²-NS solver makes the healthcare agent</w:t>
      </w:r>
      <w:r>
        <w:t xml:space="preserve"> </w:t>
      </w:r>
      <w:r>
        <w:rPr>
          <w:i/>
          <w:iCs/>
        </w:rPr>
        <w:t xml:space="preserve">robust</w:t>
      </w:r>
      <w:r>
        <w:t xml:space="preserve"> </w:t>
      </w:r>
      <w:r>
        <w:t xml:space="preserve">(less likely to be misled by noise or to hallucinate a rare disease that isn’t supported by the clustered evidence) and</w:t>
      </w:r>
      <w:r>
        <w:t xml:space="preserve"> </w:t>
      </w:r>
      <w:r>
        <w:rPr>
          <w:i/>
          <w:iCs/>
        </w:rPr>
        <w:t xml:space="preserve">interpretable</w:t>
      </w:r>
      <w:r>
        <w:t xml:space="preserve"> </w:t>
      </w:r>
      <w:r>
        <w:t xml:space="preserve">(it can justify its questions or diagnosis by referencing known medical relationships).</w:t>
      </w:r>
    </w:p>
    <w:bookmarkEnd w:id="46"/>
    <w:bookmarkStart w:id="50" w:name="X9217c43a5c6b0b9dafd438dedd5b1e0090257f4"/>
    <w:p>
      <w:pPr>
        <w:pStyle w:val="Heading3"/>
      </w:pPr>
      <w:r>
        <w:rPr>
          <w:b/>
          <w:bCs/>
        </w:rPr>
        <w:t xml:space="preserve">Scenario 3: Legal Precedent Mapping by an AI Assistant</w:t>
      </w:r>
    </w:p>
    <w:p>
      <w:pPr>
        <w:pStyle w:val="FirstParagraph"/>
      </w:pPr>
      <w:r>
        <w:rPr>
          <w:b/>
          <w:bCs/>
        </w:rPr>
        <w:t xml:space="preserve">Context:</w:t>
      </w:r>
      <w:r>
        <w:t xml:space="preserve"> </w:t>
      </w:r>
      <w:r>
        <w:t xml:space="preserve">A legal assistant AI is helping a lawyer find relevant precedents for a case. Legal reasoning often involves multiple hops: linking facts of the current case to past cases, statutes, or regulations, and then chaining through citations or analogies. The knowledge graph here could be a huge network of legal cases and their citation relationships (case A cites case B, etc.), possibly annotated with legal topics.</w:t>
      </w:r>
    </w:p>
    <w:p>
      <w:pPr>
        <w:pStyle w:val="BodyText"/>
      </w:pPr>
      <w:r>
        <w:rPr>
          <w:b/>
          <w:bCs/>
        </w:rPr>
        <w:t xml:space="preserve">How S²-NS Helps:</w:t>
      </w:r>
      <w:r>
        <w:t xml:space="preserve"> </w:t>
      </w:r>
      <w:r>
        <w:t xml:space="preserve">The S²-NS architecture can be applied to the graph of legal citations and concepts. GraphSAGE embeddings would capture which cases are related (e.g. cases on similar issues cluster together). Contrastive learning is useful here because a legal graph might be incomplete or have irrelevant cross-references – by augmenting (e.g. dropping some links) and still trying to pull similar cases together, the encoder learns a robust notion of case similarity beyond direct citations. DBSCAN clustering could segregate the graph by legal topic or jurisdiction: for example, cases about</w:t>
      </w:r>
      <w:r>
        <w:t xml:space="preserve"> </w:t>
      </w:r>
      <w:r>
        <w:rPr>
          <w:i/>
          <w:iCs/>
        </w:rPr>
        <w:t xml:space="preserve">patent law</w:t>
      </w:r>
      <w:r>
        <w:t xml:space="preserve"> </w:t>
      </w:r>
      <w:r>
        <w:t xml:space="preserve">form one dense cluster,</w:t>
      </w:r>
      <w:r>
        <w:t xml:space="preserve"> </w:t>
      </w:r>
      <w:r>
        <w:rPr>
          <w:i/>
          <w:iCs/>
        </w:rPr>
        <w:t xml:space="preserve">antitrust</w:t>
      </w:r>
      <w:r>
        <w:t xml:space="preserve"> </w:t>
      </w:r>
      <w:r>
        <w:t xml:space="preserve">cases another, etc., with outlier cases (perhaps very novel or unrelated ones) identified as noise. This ensures that when a lawyer queries the assistant, it will focus on the cluster relevant to the query domain. Now, multi-step reasoning in law often fails with naive approaches: a simple vector search might retrieve individual similar cases but</w:t>
      </w:r>
      <w:r>
        <w:t xml:space="preserve"> </w:t>
      </w:r>
      <w:r>
        <w:rPr>
          <w:b/>
          <w:bCs/>
        </w:rPr>
        <w:t xml:space="preserve">miss the multi-hop chains of reasoning</w:t>
      </w:r>
      <w:r>
        <w:t xml:space="preserve"> </w:t>
      </w:r>
      <w:r>
        <w:t xml:space="preserve">that connect through intermediate precedents</w:t>
      </w:r>
      <w:hyperlink r:id="rId47">
        <w:r>
          <w:rPr>
            <w:rStyle w:val="Hyperlink"/>
          </w:rPr>
          <w:t xml:space="preserve">[19]</w:t>
        </w:r>
      </w:hyperlink>
      <w:r>
        <w:t xml:space="preserve">. With S²-NS, the assistant can find a</w:t>
      </w:r>
      <w:r>
        <w:t xml:space="preserve"> </w:t>
      </w:r>
      <w:r>
        <w:rPr>
          <w:i/>
          <w:iCs/>
        </w:rPr>
        <w:t xml:space="preserve">path</w:t>
      </w:r>
      <w:r>
        <w:t xml:space="preserve"> </w:t>
      </w:r>
      <w:r>
        <w:t xml:space="preserve">through the citation network. For instance, suppose the user’s case is A. The assistant finds that A’s fact pattern is similar to case B (clustered together). Case B might not directly solve it, but B cited case C as precedent for a key principle; C in turn might cite a foundational case D. Using the MST/backbone of the citation graph, the assistant can trace A–B–C–D as a chain of reasoning. Because the MST has pruned superfluous edges, this chain is likely the most relevant and authoritative path (it won’t include a random citation that isn’t crucial). The agent can then present: “Case A is related to B (similar facts), B was guided by precedent C, which ultimately relies on principle from case D.” This is a clear, interpretable reasoning trail a lawyer can follow. In the background, the symbolic solver (metric closure + MST) ensured that</w:t>
      </w:r>
      <w:r>
        <w:t xml:space="preserve"> </w:t>
      </w:r>
      <w:r>
        <w:rPr>
          <w:b/>
          <w:bCs/>
        </w:rPr>
        <w:t xml:space="preserve">all-pairs shortest-path connectivity</w:t>
      </w:r>
      <w:r>
        <w:t xml:space="preserve"> </w:t>
      </w:r>
      <w:r>
        <w:t xml:space="preserve">is preserved</w:t>
      </w:r>
      <w:hyperlink r:id="rId35">
        <w:r>
          <w:rPr>
            <w:rStyle w:val="Hyperlink"/>
          </w:rPr>
          <w:t xml:space="preserve">[12]</w:t>
        </w:r>
      </w:hyperlink>
      <w:r>
        <w:t xml:space="preserve">, meaning the assistant isn’t missing any shorter connection between A and D. If there were a direct seminal case, the MST would include that edge. This addresses the challenge noted by practitioners that pure vector-based search fails to capture nuanced multi-hop legal relationships</w:t>
      </w:r>
      <w:hyperlink r:id="rId47">
        <w:r>
          <w:rPr>
            <w:rStyle w:val="Hyperlink"/>
          </w:rPr>
          <w:t xml:space="preserve">[19]</w:t>
        </w:r>
      </w:hyperlink>
      <w:r>
        <w:t xml:space="preserve">. By structuring the data, we unlock sophisticated graph traversals that go</w:t>
      </w:r>
      <w:r>
        <w:t xml:space="preserve"> </w:t>
      </w:r>
      <w:r>
        <w:rPr>
          <w:i/>
          <w:iCs/>
        </w:rPr>
        <w:t xml:space="preserve">beyond</w:t>
      </w:r>
      <w:r>
        <w:t xml:space="preserve"> </w:t>
      </w:r>
      <w:r>
        <w:t xml:space="preserve">one-step similarity</w:t>
      </w:r>
      <w:hyperlink r:id="rId48">
        <w:r>
          <w:rPr>
            <w:rStyle w:val="Hyperlink"/>
          </w:rPr>
          <w:t xml:space="preserve">[20]</w:t>
        </w:r>
      </w:hyperlink>
      <w:r>
        <w:t xml:space="preserve">. Moreover, the knowledge graph approach handles the</w:t>
      </w:r>
      <w:r>
        <w:t xml:space="preserve"> </w:t>
      </w:r>
      <w:r>
        <w:rPr>
          <w:b/>
          <w:bCs/>
        </w:rPr>
        <w:t xml:space="preserve">hierarchical nature of law</w:t>
      </w:r>
      <w:r>
        <w:t xml:space="preserve"> </w:t>
      </w:r>
      <w:r>
        <w:t xml:space="preserve">well – statutes, sections, and cases can be explicitly linked. The S²-NS clusters might correspond to different sub-areas of law, and bridging edges in the MST connect those sub-areas where needed (ensuring that if a case connects two legal domains, that connection is maintained as a bridge</w:t>
      </w:r>
      <w:hyperlink r:id="rId35">
        <w:r>
          <w:rPr>
            <w:rStyle w:val="Hyperlink"/>
          </w:rPr>
          <w:t xml:space="preserve">[12]</w:t>
        </w:r>
      </w:hyperlink>
      <w:r>
        <w:t xml:space="preserve">). The end result is that the AI assistant can</w:t>
      </w:r>
      <w:r>
        <w:t xml:space="preserve"> </w:t>
      </w:r>
      <w:r>
        <w:rPr>
          <w:b/>
          <w:bCs/>
        </w:rPr>
        <w:t xml:space="preserve">retrieve and reason with precedents more accurately</w:t>
      </w:r>
      <w:r>
        <w:t xml:space="preserve">, and crucially, explain the chain of reasoning (“We go from your case to this precedent via these steps...”). This improves confidence in the system, as legal professionals can verify each link. Any hallucinated reference (a common risk if an LLM worked alone) would be caught by the fact that it’s not present in the graph of real cases – essentially S²-NS acts as a filter ensuring the AI “only says what the law actually contains.” In summary, S²-NS empowers the legal assistant to map out precedent relationships in a reliable, interpretable manner, turning a tangled web of documents into a clear roadmap of how information flows through cases</w:t>
      </w:r>
      <w:hyperlink r:id="rId49">
        <w:r>
          <w:rPr>
            <w:rStyle w:val="Hyperlink"/>
          </w:rPr>
          <w:t xml:space="preserve">[21]</w:t>
        </w:r>
      </w:hyperlink>
      <w:r>
        <w:t xml:space="preserve">.</w:t>
      </w:r>
    </w:p>
    <w:p>
      <w:pPr>
        <w:pStyle w:val="BodyText"/>
      </w:pPr>
      <w:r>
        <w:t xml:space="preserve">These scenarios exemplify S²-NS in action across domains. In each case, the solver improves the agent’s reasoning by grounding it in a structured knowledge graph, clustering relevant info, pruning noise, and providing a clear multi-hop path. The improvements are seen in</w:t>
      </w:r>
      <w:r>
        <w:t xml:space="preserve"> </w:t>
      </w:r>
      <w:r>
        <w:rPr>
          <w:b/>
          <w:bCs/>
        </w:rPr>
        <w:t xml:space="preserve">robustness</w:t>
      </w:r>
      <w:r>
        <w:t xml:space="preserve"> </w:t>
      </w:r>
      <w:r>
        <w:t xml:space="preserve">(the agent sticks to relevant, verified info and is less prone to error) and</w:t>
      </w:r>
      <w:r>
        <w:t xml:space="preserve"> </w:t>
      </w:r>
      <w:r>
        <w:rPr>
          <w:b/>
          <w:bCs/>
        </w:rPr>
        <w:t xml:space="preserve">interpretability</w:t>
      </w:r>
      <w:r>
        <w:t xml:space="preserve"> </w:t>
      </w:r>
      <w:r>
        <w:t xml:space="preserve">(the reasoning chain can be followed and justified). This makes the conversational agent more effective and trustworthy in educational, healthcare, and legal settings.</w:t>
      </w:r>
    </w:p>
    <w:bookmarkEnd w:id="50"/>
    <w:bookmarkEnd w:id="51"/>
    <w:bookmarkStart w:id="60" w:name="X4e77b857123c8fd6ecee83324b7df6d91fa1738"/>
    <w:p>
      <w:pPr>
        <w:pStyle w:val="Heading2"/>
      </w:pPr>
      <w:r>
        <w:t xml:space="preserve">Implementation Details and Prototype Guide</w:t>
      </w:r>
    </w:p>
    <w:p>
      <w:pPr>
        <w:pStyle w:val="FirstParagraph"/>
      </w:pPr>
      <w:r>
        <w:t xml:space="preserve">For developers looking to implement S²-NS or adapt it to a specific domain, we outline the key steps, training procedures, and integration points with language models. The pipeline can be implemented as a sequence of modular components, with tunable hyperparameters at each stage:</w:t>
      </w:r>
    </w:p>
    <w:bookmarkStart w:id="53" w:name="training-the-graphsage-encoder"/>
    <w:p>
      <w:pPr>
        <w:pStyle w:val="Heading3"/>
      </w:pPr>
      <w:r>
        <w:t xml:space="preserve">Training the GraphSAGE Encoder</w:t>
      </w:r>
    </w:p>
    <w:p>
      <w:pPr>
        <w:pStyle w:val="FirstParagraph"/>
      </w:pPr>
      <w:r>
        <w:rPr>
          <w:b/>
          <w:bCs/>
        </w:rPr>
        <w:t xml:space="preserve">Data Preparation:</w:t>
      </w:r>
      <w:r>
        <w:t xml:space="preserve"> </w:t>
      </w:r>
      <w:r>
        <w:t xml:space="preserve">Start with a knowledge graph of the target domain. Ensure each entity (node) has some initial features. Features could be domain-specific (e.g. textual embeddings of concept definitions, or one-hot vectors of node type) or simply an identity if no features (GraphSAGE can still work with structural info alone by learning an embedding from scratch). Prepare a list of edges (relations) for neighbor sampling.</w:t>
      </w:r>
    </w:p>
    <w:p>
      <w:pPr>
        <w:pStyle w:val="BodyText"/>
      </w:pPr>
      <w:r>
        <w:rPr>
          <w:b/>
          <w:bCs/>
        </w:rPr>
        <w:t xml:space="preserve">GraphSAGE Model:</w:t>
      </w:r>
      <w:r>
        <w:t xml:space="preserve"> </w:t>
      </w:r>
      <w:r>
        <w:t xml:space="preserve">Configure a GraphSAGE GNN with</w:t>
      </w:r>
      <w:r>
        <w:t xml:space="preserve"> </w:t>
      </w:r>
      <w:r>
        <w:rPr>
          <w:i/>
          <w:iCs/>
        </w:rPr>
        <w:t xml:space="preserve">L</w:t>
      </w:r>
      <w:r>
        <w:t xml:space="preserve"> </w:t>
      </w:r>
      <w:r>
        <w:t xml:space="preserve">layers (commonly 2 or 3). Use</w:t>
      </w:r>
      <w:r>
        <w:t xml:space="preserve"> </w:t>
      </w:r>
      <w:r>
        <w:rPr>
          <w:b/>
          <w:bCs/>
        </w:rPr>
        <w:t xml:space="preserve">max-pooling aggregator</w:t>
      </w:r>
      <w:r>
        <w:t xml:space="preserve"> </w:t>
      </w:r>
      <w:r>
        <w:t xml:space="preserve">in each layer, as described earlier. For example, each layer will perform: for each node, apply a linear transformation and nonlinearity to each neighbor’s vector and take a dimension-wise max; then concatenate with the node’s current vector and feed through another linear + nonlinearity to update the node</w:t>
      </w:r>
      <w:hyperlink r:id="rId21">
        <w:r>
          <w:rPr>
            <w:rStyle w:val="Hyperlink"/>
          </w:rPr>
          <w:t xml:space="preserve">[1]</w:t>
        </w:r>
      </w:hyperlink>
      <w:r>
        <w:t xml:space="preserve">. Initialize the weight matrices (e.g. Xavier initialization) and choose an optimizer (Adam is standard</w:t>
      </w:r>
      <w:hyperlink r:id="rId24">
        <w:r>
          <w:rPr>
            <w:rStyle w:val="Hyperlink"/>
          </w:rPr>
          <w:t xml:space="preserve">[4]</w:t>
        </w:r>
      </w:hyperlink>
      <w:r>
        <w:t xml:space="preserve">). Typical hyperparameters: latent dimension $d=128$ (or 256 for very large graphs), learning rate ~1e-3, activation = ReLU, and dropout (maybe 0.2-0.5) between layers to avoid overfitting.</w:t>
      </w:r>
    </w:p>
    <w:p>
      <w:pPr>
        <w:pStyle w:val="BodyText"/>
      </w:pPr>
      <w:r>
        <w:rPr>
          <w:b/>
          <w:bCs/>
        </w:rPr>
        <w:t xml:space="preserve">Contrastive Self-Supervision:</w:t>
      </w:r>
      <w:r>
        <w:t xml:space="preserve"> </w:t>
      </w:r>
      <w:r>
        <w:t xml:space="preserve">Implement a mechanism to generate augmented graph views on the fly. For each batch of target nodes, create two “views” of their local neighborhood. For instance, one view might drop a certain percentage of the node’s edges, and the other view might mask some attributes or drop a different set of edges. You could randomly choose from the augmentation types each epoch (one time drop nodes, next time mask features, etc.), or combine augmentations (GraphCL found that certain pairs of augmentations can work well</w:t>
      </w:r>
      <w:hyperlink r:id="rId52">
        <w:r>
          <w:rPr>
            <w:rStyle w:val="Hyperlink"/>
          </w:rPr>
          <w:t xml:space="preserve">[22]</w:t>
        </w:r>
      </w:hyperlink>
      <w:r>
        <w:t xml:space="preserve">). Ensure that the two views still contain the target node itself (we typically do not drop the central node). Pass each view through the GraphSAGE network (using the same weights) to get two embedding vectors $z_i$ and $z_i'$ for the</w:t>
      </w:r>
      <w:r>
        <w:t xml:space="preserve"> </w:t>
      </w:r>
      <w:r>
        <w:rPr>
          <w:i/>
          <w:iCs/>
        </w:rPr>
        <w:t xml:space="preserve">same</w:t>
      </w:r>
      <w:r>
        <w:t xml:space="preserve"> </w:t>
      </w:r>
      <w:r>
        <w:t xml:space="preserve">node $i$ under the two augmentations. The training objective is to maximize $z_i \cdot z_i'$ (dot product or cosine similarity) while minimizing similarity with other nodes’ embeddings. A common loss is the InfoNCE loss: for node $i$, treat $z_i$ as an anchor, $z_i'$ as the positive, and all other nodes $j$ in the batch (with their views $z_j, z_j'$) as negatives. The loss for $i$ would be $-\log\frac{\exp(\text{sim}(z_i, z_i')/\tau)}{\sum_{j \neq i} \exp(\text{sim}(z_i, z_j')/\tau)}$, where $\tau$ is a temperature hyperparameter.</w:t>
      </w:r>
      <w:r>
        <w:t xml:space="preserve"> </w:t>
      </w:r>
      <w:r>
        <w:rPr>
          <w:i/>
          <w:iCs/>
        </w:rPr>
        <w:t xml:space="preserve">Sim</w:t>
      </w:r>
      <w:r>
        <w:t xml:space="preserve"> </w:t>
      </w:r>
      <w:r>
        <w:t xml:space="preserve">can be cosine similarity. In practice, frameworks like PyTorch Geometric or DGL have implementations for GraphSAGE and it’s straightforward to implement contrastive losses on top.</w:t>
      </w:r>
    </w:p>
    <w:p>
      <w:pPr>
        <w:pStyle w:val="BodyText"/>
      </w:pPr>
      <w:r>
        <w:rPr>
          <w:b/>
          <w:bCs/>
        </w:rPr>
        <w:t xml:space="preserve">Training Regimen:</w:t>
      </w:r>
      <w:r>
        <w:t xml:space="preserve"> </w:t>
      </w:r>
      <w:r>
        <w:t xml:space="preserve">Train for a sufficient number of epochs until the contrastive objective stabilizes. Monitor the alignment (similarity of positives) and uniformity (distribution of embeddings) to ensure the model isn’t collap**sing (e.g., all nodes to same vector). No ground-truth labels are required – the process is self-supervised. Optionally, one can evaluate the embeddings on some proxy task (like link prediction or node clustering coherence) to decide when training is sufficient.</w:t>
      </w:r>
    </w:p>
    <w:p>
      <w:pPr>
        <w:pStyle w:val="BodyText"/>
      </w:pPr>
      <w:r>
        <w:rPr>
          <w:b/>
          <w:bCs/>
        </w:rPr>
        <w:t xml:space="preserve">Hyperparameters to tune:</w:t>
      </w:r>
      <w:r>
        <w:t xml:space="preserve"> </w:t>
      </w:r>
      <w:r>
        <w:t xml:space="preserve">Aside from those above: the neighbor sampling size per layer (larger sample might yield better accuracy but more compute), the batch size (batches of a few hundred nodes are common; too large and memory may be an issue), and the contrastive loss temperature $\tau$ (often around 0.5 to 1.0). The augmentation ratios are crucial hyperparams: e.g., dropping ~10-20% of edges has been used in literature</w:t>
      </w:r>
      <w:hyperlink r:id="rId52">
        <w:r>
          <w:rPr>
            <w:rStyle w:val="Hyperlink"/>
          </w:rPr>
          <w:t xml:space="preserve">[22]</w:t>
        </w:r>
      </w:hyperlink>
      <w:r>
        <w:t xml:space="preserve">, and masking ~30% of features for graphs with rich attributes. One might experiment with these to find a sweet spot where augmentations are neither too trivial nor too destructive.</w:t>
      </w:r>
    </w:p>
    <w:bookmarkEnd w:id="53"/>
    <w:bookmarkStart w:id="54" w:name="clustering-and-outlier-removal"/>
    <w:p>
      <w:pPr>
        <w:pStyle w:val="Heading3"/>
      </w:pPr>
      <w:r>
        <w:t xml:space="preserve">Clustering and Outlier Removal</w:t>
      </w:r>
    </w:p>
    <w:p>
      <w:pPr>
        <w:pStyle w:val="FirstParagraph"/>
      </w:pPr>
      <w:r>
        <w:rPr>
          <w:b/>
          <w:bCs/>
        </w:rPr>
        <w:t xml:space="preserve">Embedding Extraction:</w:t>
      </w:r>
      <w:r>
        <w:t xml:space="preserve"> </w:t>
      </w:r>
      <w:r>
        <w:t xml:space="preserve">After training, use the GraphSAGE model to infer embeddings for all nodes in the graph (you can do this efficiently in batches). You’ll obtain an $N \times d$ matrix of embeddings (N = number of nodes).</w:t>
      </w:r>
    </w:p>
    <w:p>
      <w:pPr>
        <w:pStyle w:val="BodyText"/>
      </w:pPr>
      <w:r>
        <w:rPr>
          <w:b/>
          <w:bCs/>
        </w:rPr>
        <w:t xml:space="preserve">DBSCAN Clustering:</w:t>
      </w:r>
      <w:r>
        <w:t xml:space="preserve"> </w:t>
      </w:r>
      <w:r>
        <w:t xml:space="preserve">Using the embeddings, run a DBSCAN clustering. This can be done via libraries (scikit-learn has a DBSCAN implementation). Important parameters:</w:t>
      </w:r>
      <w:r>
        <w:t xml:space="preserve"> </w:t>
      </w:r>
      <w:r>
        <w:t xml:space="preserve">- $\varepsilon$ (eps): radius of neighborhood for a point to be considered part of a cluster.</w:t>
      </w:r>
      <w:r>
        <w:t xml:space="preserve"> </w:t>
      </w:r>
      <w:r>
        <w:t xml:space="preserve">- min_samples (minPts): minimum number of points within $\varepsilon$ for a point to start a cluster.</w:t>
      </w:r>
    </w:p>
    <w:p>
      <w:pPr>
        <w:pStyle w:val="BodyText"/>
      </w:pPr>
      <w:r>
        <w:t xml:space="preserve">Choosing $\varepsilon$ might require some tuning or using a heuristic. One heuristic is to plot the k-distance graph (distance to the k-th nearest neighbor for each point, where k = minPts) and look for an “elbow” – a sharp change indicating a natural distance threshold. Some researchers propose automatic $\varepsilon$ selection by percentile of distances</w:t>
      </w:r>
      <w:hyperlink r:id="rId32">
        <w:r>
          <w:rPr>
            <w:rStyle w:val="Hyperlink"/>
          </w:rPr>
          <w:t xml:space="preserve">[10]</w:t>
        </w:r>
      </w:hyperlink>
      <w:r>
        <w:t xml:space="preserve">. Alternatively, domain knowledge can help: e.g., if using cosine similarity as distance, one might choose eps such that similarity &gt; 0.8 is considered “close”.</w:t>
      </w:r>
      <w:r>
        <w:t xml:space="preserve"> </w:t>
      </w:r>
      <w:r>
        <w:rPr>
          <w:b/>
          <w:bCs/>
        </w:rPr>
        <w:t xml:space="preserve">minPts</w:t>
      </w:r>
      <w:r>
        <w:t xml:space="preserve"> </w:t>
      </w:r>
      <w:r>
        <w:t xml:space="preserve">might be set to something like 5 or 10 to require a modest cluster size; if your graph naturally has tight clusters, this could be higher.</w:t>
      </w:r>
    </w:p>
    <w:p>
      <w:pPr>
        <w:pStyle w:val="BodyText"/>
      </w:pPr>
      <w:r>
        <w:t xml:space="preserve">Run DBSCAN on all points. It will assign cluster labels and mark some as</w:t>
      </w:r>
      <w:r>
        <w:t xml:space="preserve"> </w:t>
      </w:r>
      <w:r>
        <w:rPr>
          <w:i/>
          <w:iCs/>
        </w:rPr>
        <w:t xml:space="preserve">-1</w:t>
      </w:r>
      <w:r>
        <w:t xml:space="preserve"> </w:t>
      </w:r>
      <w:r>
        <w:t xml:space="preserve">(noise). Typically, you’ll get a number of clusters (perhaps dozens or hundreds, depending on the graph complexity) and some noise points. You should inspect the results to ensure it’s clustering as expected (maybe verify some known groupings if available – e.g., check that in a medical graph, all symptoms of a disease ended up in one cluster).</w:t>
      </w:r>
    </w:p>
    <w:p>
      <w:pPr>
        <w:pStyle w:val="BodyText"/>
      </w:pPr>
      <w:r>
        <w:rPr>
          <w:b/>
          <w:bCs/>
        </w:rPr>
        <w:t xml:space="preserve">Using Clusters:</w:t>
      </w:r>
      <w:r>
        <w:t xml:space="preserve"> </w:t>
      </w:r>
      <w:r>
        <w:t xml:space="preserve">For all nodes labeled as noise/outlier, you can decide to remove them from further consideration. In a prototype, you might exclude those nodes from the graph used for reasoning, or keep them with a tag “outlier” (perhaps an LLM could still use them if explicitly mentioned by the user, but the system knows they’re not well-integrated in the knowledge structure). The remaining clusters can be used to form a reduced graph where each cluster might be collapsed into a super-node for higher-level reasoning, or simply as a filter (i.e., restrict multi-hop searches to within clusters or between closely related clusters). We will proceed to the next step assuming we focus on the main clustered nodes.</w:t>
      </w:r>
    </w:p>
    <w:bookmarkEnd w:id="54"/>
    <w:bookmarkStart w:id="55" w:name="X9a160b9451d63138474d1f037173e592646b03d"/>
    <w:p>
      <w:pPr>
        <w:pStyle w:val="Heading3"/>
      </w:pPr>
      <w:r>
        <w:t xml:space="preserve">Symbolic Structure Recovery (Graph Algorithm)</w:t>
      </w:r>
    </w:p>
    <w:p>
      <w:pPr>
        <w:pStyle w:val="FirstParagraph"/>
      </w:pPr>
      <w:r>
        <w:rPr>
          <w:b/>
          <w:bCs/>
        </w:rPr>
        <w:t xml:space="preserve">Distance Calculation:</w:t>
      </w:r>
      <w:r>
        <w:t xml:space="preserve"> </w:t>
      </w:r>
      <w:r>
        <w:t xml:space="preserve">Determine a distance or dissimilarity metric between node embeddings. A simple choice is Euclidean distance in the embedding space. Alternatively, 1 – (cosine similarity) can serve as a distance. If the knowledge graph has edge weights or semantic distances, one could also incorporate those (for example, use a weighted sum of embedding distance and some graph distance). For a prototype, using the learned embeddings alone is a good start, since they encode multi-hop connectivity.</w:t>
      </w:r>
    </w:p>
    <w:p>
      <w:pPr>
        <w:pStyle w:val="BodyText"/>
      </w:pPr>
      <w:r>
        <w:rPr>
          <w:b/>
          <w:bCs/>
        </w:rPr>
        <w:t xml:space="preserve">Metric Closure:</w:t>
      </w:r>
      <w:r>
        <w:t xml:space="preserve"> </w:t>
      </w:r>
      <w:r>
        <w:t xml:space="preserve">Compute the full distance matrix for all nodes (or if the graph is huge, at least for representative nodes like cluster centroids). If the graph has tens of thousands of nodes, computing all-pairs distances is expensive ($O(N^2)$). In that case, one might instead compute distances between clusters (taking one representative per cluster, e.g. the medoid or centroid of embeddings). Assuming a manageable size, we produce a complete graph where each node is connected to every other with an edge weighted by the distance.</w:t>
      </w:r>
    </w:p>
    <w:p>
      <w:pPr>
        <w:pStyle w:val="BodyText"/>
      </w:pPr>
      <w:r>
        <w:rPr>
          <w:b/>
          <w:bCs/>
        </w:rPr>
        <w:t xml:space="preserve">Minimum Spanning Tree:</w:t>
      </w:r>
      <w:r>
        <w:t xml:space="preserve"> </w:t>
      </w:r>
      <w:r>
        <w:t xml:space="preserve">Run a minimum spanning tree algorithm on this complete graph. There are classic algorithms like Kruskal’s or Prim’s. This will yield a set of $N-1$ edges (if N is the number of nodes or clusters connected) that connect all nodes with the minimal total distance. Essentially, each node will be connected to its nearest neighbor (unless it’s closer to a small chain, etc.), forming a tree that spans all points. If the original graph had multiple disconnected components that remained disconnected even after clustering (e.g., two unrelated subgraphs), then one would typically get an MST per component. It might be prudent to run MST on each connected component of the original graph separately, to avoid forcing connections between truly unrelated components – or simply post-process the MST and cut edges that are unreasonably long (these likely connect disparate components). In some cases, one could constrain the MST to not exceed a certain distance for any edge.</w:t>
      </w:r>
    </w:p>
    <w:p>
      <w:pPr>
        <w:pStyle w:val="BodyText"/>
      </w:pPr>
      <w:r>
        <w:t xml:space="preserve">The output MST defines parent-child relations among nodes (or clusters). This can be thought of as a hierarchy or a forest of trees. It’s helpful to store not just the tree edges, but also the original graph relationships for context. For instance, MST might say node A connects to B (meaning B was the closest neighbor in embedding space), but in the original knowledge graph A might have had 5 different links; one can annotate the MST edge with which original relation was strongest or most common between A and B.</w:t>
      </w:r>
    </w:p>
    <w:p>
      <w:pPr>
        <w:pStyle w:val="BodyText"/>
      </w:pPr>
      <w:r>
        <w:rPr>
          <w:b/>
          <w:bCs/>
        </w:rPr>
        <w:t xml:space="preserve">Alternate symbolic solver:</w:t>
      </w:r>
      <w:r>
        <w:t xml:space="preserve"> </w:t>
      </w:r>
      <w:r>
        <w:t xml:space="preserve">We used metric + MST as an example because it’s straightforward and tends to yield a clear structure. Depending on the domain, other symbolic reasoning could be applied. For example, one could perform a</w:t>
      </w:r>
      <w:r>
        <w:t xml:space="preserve"> </w:t>
      </w:r>
      <w:r>
        <w:rPr>
          <w:i/>
          <w:iCs/>
        </w:rPr>
        <w:t xml:space="preserve">transitive closure</w:t>
      </w:r>
      <w:r>
        <w:t xml:space="preserve"> </w:t>
      </w:r>
      <w:r>
        <w:t xml:space="preserve">or</w:t>
      </w:r>
      <w:r>
        <w:t xml:space="preserve"> </w:t>
      </w:r>
      <w:r>
        <w:rPr>
          <w:i/>
          <w:iCs/>
        </w:rPr>
        <w:t xml:space="preserve">logical inference</w:t>
      </w:r>
      <w:r>
        <w:t xml:space="preserve"> </w:t>
      </w:r>
      <w:r>
        <w:t xml:space="preserve">on the symbolic knowledge (like deducing new relations logically) and then use that enriched graph for reasoning. Or use shortest path algorithms to find the actual shortest relational path between key entities (rather than purely embedding distance). In a prototype, MST is a good default to get an interpretable backbone. The developer should ensure that important known relationships are not lost – check that the MST or backbone covers the crucial connections expected. If not, consider increasing cluster granularity or directly adding certain edges back in.</w:t>
      </w:r>
    </w:p>
    <w:bookmarkEnd w:id="55"/>
    <w:bookmarkStart w:id="59" w:name="Xa2ec32562d1f0248e1fe85f053c648397b6e4b6"/>
    <w:p>
      <w:pPr>
        <w:pStyle w:val="Heading3"/>
      </w:pPr>
      <w:r>
        <w:t xml:space="preserve">Integration with LLMs and Conversational Agents</w:t>
      </w:r>
    </w:p>
    <w:p>
      <w:pPr>
        <w:pStyle w:val="FirstParagraph"/>
      </w:pPr>
      <w:r>
        <w:t xml:space="preserve">Once the S²-NS pipeline has produced the refined knowledge structure (clustered nodes + backbone connections), it can be integrated into a multi-turn conversational agent system in several ways:</w:t>
      </w:r>
    </w:p>
    <w:p>
      <w:pPr>
        <w:numPr>
          <w:ilvl w:val="0"/>
          <w:numId w:val="1001"/>
        </w:numPr>
      </w:pPr>
      <w:r>
        <w:rPr>
          <w:b/>
          <w:bCs/>
        </w:rPr>
        <w:t xml:space="preserve">Knowledge Retrieval:</w:t>
      </w:r>
      <w:r>
        <w:t xml:space="preserve"> </w:t>
      </w:r>
      <w:r>
        <w:t xml:space="preserve">The knowledge graph (now cleaned and structured) can act as a database that the LLM queries. For example, if the user asks a question, the system can identify key entities in the query and then use the S²-NS graph to find related entities or answers. The LLM might generate a Cypher or SPARQL query under the hood (if using a database like Neo4j as in some implementations</w:t>
      </w:r>
      <w:hyperlink r:id="rId44">
        <w:r>
          <w:rPr>
            <w:rStyle w:val="Hyperlink"/>
          </w:rPr>
          <w:t xml:space="preserve">[17]</w:t>
        </w:r>
      </w:hyperlink>
      <w:r>
        <w:t xml:space="preserve">) to fetch the relevant subgraph. This retrieved subgraph (a set of nodes and relations) can then be converted into text or facts that the LLM includes in its answer. Because S²-NS has reduced the noise, the retrieval will be more precise and focused than it would be on the raw graph.</w:t>
      </w:r>
    </w:p>
    <w:p>
      <w:pPr>
        <w:numPr>
          <w:ilvl w:val="0"/>
          <w:numId w:val="1001"/>
        </w:numPr>
      </w:pPr>
      <w:r>
        <w:rPr>
          <w:b/>
          <w:bCs/>
        </w:rPr>
        <w:t xml:space="preserve">Reasoning Trace as Chain-of-Thought:</w:t>
      </w:r>
      <w:r>
        <w:t xml:space="preserve"> </w:t>
      </w:r>
      <w:r>
        <w:t xml:space="preserve">The agent can explicitly use the MST backbone as a chain-of-thought for multi-hop questions. Suppose a question requires hopping from A to D through B and C – the agent can find that path on the MST and then prompt the LLM to explain it step by step (“A is connected to B by X, B leads to C by Y, and that leads to answer D”). The</w:t>
      </w:r>
      <w:r>
        <w:t xml:space="preserve"> </w:t>
      </w:r>
      <w:r>
        <w:rPr>
          <w:b/>
          <w:bCs/>
        </w:rPr>
        <w:t xml:space="preserve">graph provides a logical blueprint</w:t>
      </w:r>
      <w:r>
        <w:t xml:space="preserve"> </w:t>
      </w:r>
      <w:r>
        <w:t xml:space="preserve">that the LLM can flesh out in natural language. This is essentially a</w:t>
      </w:r>
      <w:r>
        <w:t xml:space="preserve"> </w:t>
      </w:r>
      <w:r>
        <w:rPr>
          <w:i/>
          <w:iCs/>
        </w:rPr>
        <w:t xml:space="preserve">graph-guided prompt</w:t>
      </w:r>
      <w:r>
        <w:t xml:space="preserve">. For instance, one might encode a prompt like:</w:t>
      </w:r>
      <w:r>
        <w:t xml:space="preserve"> </w:t>
      </w:r>
      <w:r>
        <w:rPr>
          <w:i/>
          <w:iCs/>
        </w:rPr>
        <w:t xml:space="preserve">“Using the knowledge graph, we have the following reasoning: A → (relation X) → B → (relation Y) → C → ... Therefore, answer is ...”</w:t>
      </w:r>
      <w:r>
        <w:t xml:space="preserve"> </w:t>
      </w:r>
      <w:r>
        <w:t xml:space="preserve">The LLM fills in the details, but the skeleton is grounded in S²-NS’s output.</w:t>
      </w:r>
    </w:p>
    <w:p>
      <w:pPr>
        <w:numPr>
          <w:ilvl w:val="0"/>
          <w:numId w:val="1001"/>
        </w:numPr>
      </w:pPr>
      <w:r>
        <w:rPr>
          <w:b/>
          <w:bCs/>
        </w:rPr>
        <w:t xml:space="preserve">Filtering LLM Generations:</w:t>
      </w:r>
      <w:r>
        <w:t xml:space="preserve"> </w:t>
      </w:r>
      <w:r>
        <w:t xml:space="preserve">Another integration point is to use the S²-NS graph to</w:t>
      </w:r>
      <w:r>
        <w:t xml:space="preserve"> </w:t>
      </w:r>
      <w:r>
        <w:rPr>
          <w:i/>
          <w:iCs/>
        </w:rPr>
        <w:t xml:space="preserve">validate or filter</w:t>
      </w:r>
      <w:r>
        <w:t xml:space="preserve"> </w:t>
      </w:r>
      <w:r>
        <w:t xml:space="preserve">the LLM’s own proposed reasoning. An LLM might generate several possible multi-hop chains in free-form. The system can check each generated hop against the knowledge graph: if the LLM says “X is related to Y” and that edge (or a very similar relation) does not exist in the graph or is flagged as an outlier, the system can intervene (either by prompting the LLM to reconsider:</w:t>
      </w:r>
      <w:r>
        <w:t xml:space="preserve"> </w:t>
      </w:r>
      <w:r>
        <w:rPr>
          <w:i/>
          <w:iCs/>
        </w:rPr>
        <w:t xml:space="preserve">“Are you sure X relates to Y? Our knowledge base doesn’t show that.”</w:t>
      </w:r>
      <w:r>
        <w:t xml:space="preserve">, or by scoring that reasoning path lower). This can greatly reduce hallucinations. Essentially, the graph serves as a factuality filter. Knowledge graphs are known to help prevent LLM hallucinations by providing a clear map of valid relationships</w:t>
      </w:r>
      <w:hyperlink r:id="rId56">
        <w:r>
          <w:rPr>
            <w:rStyle w:val="Hyperlink"/>
          </w:rPr>
          <w:t xml:space="preserve">[23]</w:t>
        </w:r>
      </w:hyperlink>
      <w:hyperlink r:id="rId57">
        <w:r>
          <w:rPr>
            <w:rStyle w:val="Hyperlink"/>
          </w:rPr>
          <w:t xml:space="preserve">[24]</w:t>
        </w:r>
      </w:hyperlink>
      <w:r>
        <w:t xml:space="preserve">. In practice, we could implement this as a function that takes an LLM-generated answer or chain-of-thought, extracts the entities and their claimed relations, and checks them against the S²-NS graph (or even the underlying raw KG if needed). Any discrepancy can trigger a correction.</w:t>
      </w:r>
    </w:p>
    <w:p>
      <w:pPr>
        <w:numPr>
          <w:ilvl w:val="0"/>
          <w:numId w:val="1001"/>
        </w:numPr>
      </w:pPr>
      <w:r>
        <w:rPr>
          <w:b/>
          <w:bCs/>
        </w:rPr>
        <w:t xml:space="preserve">LLM as Graph Navigator:</w:t>
      </w:r>
      <w:r>
        <w:t xml:space="preserve"> </w:t>
      </w:r>
      <w:r>
        <w:t xml:space="preserve">We can also design the LLM to be an agent that navigates the graph via S²-NS APIs. For example, give the LLM tools like</w:t>
      </w:r>
      <w:r>
        <w:t xml:space="preserve"> </w:t>
      </w:r>
      <w:r>
        <w:rPr>
          <w:rStyle w:val="VerbatimChar"/>
        </w:rPr>
        <w:t xml:space="preserve">find_neighbors(entity)</w:t>
      </w:r>
      <w:r>
        <w:t xml:space="preserve"> </w:t>
      </w:r>
      <w:r>
        <w:t xml:space="preserve">or</w:t>
      </w:r>
      <w:r>
        <w:t xml:space="preserve"> </w:t>
      </w:r>
      <w:r>
        <w:rPr>
          <w:rStyle w:val="VerbatimChar"/>
        </w:rPr>
        <w:t xml:space="preserve">shortest_path(entity1, entity2)</w:t>
      </w:r>
      <w:r>
        <w:t xml:space="preserve"> </w:t>
      </w:r>
      <w:r>
        <w:t xml:space="preserve">which query the S²-NS structure. The LLM could then decide in dialogue: “To answer that, I should look at neighbors of entity A” – it calls the tool, gets the result (which is grounded in the KG), and continues reasoning. This turns the problem into a</w:t>
      </w:r>
      <w:r>
        <w:t xml:space="preserve"> </w:t>
      </w:r>
      <w:r>
        <w:rPr>
          <w:i/>
          <w:iCs/>
        </w:rPr>
        <w:t xml:space="preserve">neuro-symbolic AI agent</w:t>
      </w:r>
      <w:r>
        <w:t xml:space="preserve"> </w:t>
      </w:r>
      <w:r>
        <w:t xml:space="preserve">with explicit graph exploration. The S²-NS ensures the graph exploration space is reduced and meaningful (thanks to clustering and MST, the agent won’t waste time on irrelevant branches or infinite loops).</w:t>
      </w:r>
    </w:p>
    <w:p>
      <w:pPr>
        <w:numPr>
          <w:ilvl w:val="0"/>
          <w:numId w:val="1001"/>
        </w:numPr>
      </w:pPr>
      <w:r>
        <w:rPr>
          <w:b/>
          <w:bCs/>
        </w:rPr>
        <w:t xml:space="preserve">Fine-tuning LLM with Graph-augmented Data:</w:t>
      </w:r>
      <w:r>
        <w:t xml:space="preserve"> </w:t>
      </w:r>
      <w:r>
        <w:t xml:space="preserve">As noted by Liu</w:t>
      </w:r>
      <w:r>
        <w:t xml:space="preserve"> </w:t>
      </w:r>
      <w:r>
        <w:rPr>
          <w:i/>
          <w:iCs/>
        </w:rPr>
        <w:t xml:space="preserve">et al.</w:t>
      </w:r>
      <w:r>
        <w:t xml:space="preserve"> </w:t>
      </w:r>
      <w:r>
        <w:t xml:space="preserve">(2025), one can also use the structured data from the knowledge graph to fine-tune LLMs and improve the consistency of their reasoning</w:t>
      </w:r>
      <w:hyperlink r:id="rId45">
        <w:r>
          <w:rPr>
            <w:rStyle w:val="Hyperlink"/>
          </w:rPr>
          <w:t xml:space="preserve">[18]</w:t>
        </w:r>
      </w:hyperlink>
      <w:r>
        <w:t xml:space="preserve">. For instance, after building the S²-NS graph, you could generate synthetic dialogues or QA pairs that reflect the multi-hop structure and train the LLM on them. This would teach the LLM to implicitly follow the graph during inference. In a prototype, this might be advanced, but even without fine-tuning, at runtime the above retrieval and checking methods can harness the graph.</w:t>
      </w:r>
    </w:p>
    <w:p>
      <w:pPr>
        <w:pStyle w:val="FirstParagraph"/>
      </w:pPr>
      <w:r>
        <w:rPr>
          <w:b/>
          <w:bCs/>
        </w:rPr>
        <w:t xml:space="preserve">Graph Storage and Access:</w:t>
      </w:r>
      <w:r>
        <w:t xml:space="preserve"> </w:t>
      </w:r>
      <w:r>
        <w:t xml:space="preserve">For implementation, it’s convenient to store the resulting knowledge graph (post-clustering and MST) in a graph database or at least a Python networkx structure. A database like Neo4j could be used (as seen in some knowledge-integrated systems)</w:t>
      </w:r>
      <w:hyperlink r:id="rId44">
        <w:r>
          <w:rPr>
            <w:rStyle w:val="Hyperlink"/>
          </w:rPr>
          <w:t xml:space="preserve">[17]</w:t>
        </w:r>
      </w:hyperlink>
      <w:r>
        <w:t xml:space="preserve">; it would allow complex Cypher queries for multi-hop relationships (e.g., find all paths up to length 3 between concepts). For simpler prototypes, a networkx graph in memory, or adjacency list, is fine.</w:t>
      </w:r>
    </w:p>
    <w:p>
      <w:pPr>
        <w:pStyle w:val="BodyText"/>
      </w:pPr>
      <w:r>
        <w:rPr>
          <w:b/>
          <w:bCs/>
        </w:rPr>
        <w:t xml:space="preserve">Example Integration Workflow:</w:t>
      </w:r>
      <w:r>
        <w:t xml:space="preserve"> </w:t>
      </w:r>
      <w:r>
        <w:t xml:space="preserve">Imagine a user asks:</w:t>
      </w:r>
      <w:r>
        <w:t xml:space="preserve"> </w:t>
      </w:r>
      <w:r>
        <w:rPr>
          <w:i/>
          <w:iCs/>
        </w:rPr>
        <w:t xml:space="preserve">“What are the connections between concept A and concept D?”</w:t>
      </w:r>
      <w:r>
        <w:br/>
      </w:r>
      <w:r>
        <w:t xml:space="preserve">1. The system identifies A and D in the graph (via a simple lookup or string matching).</w:t>
      </w:r>
      <w:r>
        <w:br/>
      </w:r>
      <w:r>
        <w:t xml:space="preserve">2. It uses the precomputed metric closure (or just the MST) to find the path from A to D. Suppose the path is A–B–C–D.</w:t>
      </w:r>
      <w:r>
        <w:br/>
      </w:r>
      <w:r>
        <w:t xml:space="preserve">3. It retrieves the labels/relations of each link (maybe from the original KG, A–B might correspond to a specific relationship).</w:t>
      </w:r>
      <w:r>
        <w:br/>
      </w:r>
      <w:r>
        <w:t xml:space="preserve">4. It then prompts the LLM with something like:</w:t>
      </w:r>
      <w:r>
        <w:t xml:space="preserve"> </w:t>
      </w:r>
      <w:r>
        <w:rPr>
          <w:i/>
          <w:iCs/>
        </w:rPr>
        <w:t xml:space="preserve">“A is related to B (relation R1); B is related to C (R2); C is related to D (R3). Explain how A and D are connected.”</w:t>
      </w:r>
      <w:r>
        <w:br/>
      </w:r>
      <w:r>
        <w:t xml:space="preserve">5. The LLM produces an explanation:</w:t>
      </w:r>
      <w:r>
        <w:t xml:space="preserve"> </w:t>
      </w:r>
      <w:r>
        <w:rPr>
          <w:i/>
          <w:iCs/>
        </w:rPr>
        <w:t xml:space="preserve">“A is connected to B via R1. In turn, B connects to C through R2. Finally, C leads to D by R3. Therefore, through this chain, A relates to D.”</w:t>
      </w:r>
      <w:r>
        <w:t xml:space="preserve"> </w:t>
      </w:r>
      <w:r>
        <w:t xml:space="preserve">– with more natural detail as appropriate.</w:t>
      </w:r>
    </w:p>
    <w:p>
      <w:pPr>
        <w:pStyle w:val="BodyText"/>
      </w:pPr>
      <w:r>
        <w:t xml:space="preserve">In summary, integrating S²-NS with LLMs involves using the graph as a source of truth and structure for the language model’s reasoning process. This yields a</w:t>
      </w:r>
      <w:r>
        <w:t xml:space="preserve"> </w:t>
      </w:r>
      <w:r>
        <w:rPr>
          <w:b/>
          <w:bCs/>
        </w:rPr>
        <w:t xml:space="preserve">Graph-grounded conversational agent</w:t>
      </w:r>
      <w:r>
        <w:t xml:space="preserve">. There are emerging frameworks (like retrieval-augmented generation with knowledge graphs, e.g. Microsoft’s</w:t>
      </w:r>
      <w:r>
        <w:t xml:space="preserve"> </w:t>
      </w:r>
      <w:r>
        <w:rPr>
          <w:b/>
          <w:bCs/>
        </w:rPr>
        <w:t xml:space="preserve">GraphRAG</w:t>
      </w:r>
      <w:r>
        <w:t xml:space="preserve"> </w:t>
      </w:r>
      <w:r>
        <w:t xml:space="preserve">approach) that validate this strategy</w:t>
      </w:r>
      <w:hyperlink r:id="rId58">
        <w:r>
          <w:rPr>
            <w:rStyle w:val="Hyperlink"/>
          </w:rPr>
          <w:t xml:space="preserve">[25]</w:t>
        </w:r>
      </w:hyperlink>
      <w:r>
        <w:t xml:space="preserve">. The S²-NS solver would be the component that maintains and updates the knowledge graph that the LLM relies on.</w:t>
      </w:r>
    </w:p>
    <w:bookmarkEnd w:id="59"/>
    <w:bookmarkEnd w:id="60"/>
    <w:bookmarkStart w:id="66" w:name="X01d2b7fe62383e98ab9d09e60a23285ced5792c"/>
    <w:p>
      <w:pPr>
        <w:pStyle w:val="Heading2"/>
      </w:pPr>
      <w:r>
        <w:t xml:space="preserve">Datasets, Benchmarks, and Evaluation Strategy</w:t>
      </w:r>
    </w:p>
    <w:p>
      <w:pPr>
        <w:pStyle w:val="FirstParagraph"/>
      </w:pPr>
      <w:r>
        <w:t xml:space="preserve">To develop and evaluate S²-NS-driven conversational agents, one should consider datasets and benchmarks in each target domain, as well as general metrics to assess the system’s performance:</w:t>
      </w:r>
    </w:p>
    <w:p>
      <w:pPr>
        <w:numPr>
          <w:ilvl w:val="0"/>
          <w:numId w:val="1002"/>
        </w:numPr>
      </w:pPr>
      <w:r>
        <w:rPr>
          <w:b/>
          <w:bCs/>
        </w:rPr>
        <w:t xml:space="preserve">Educational Domain:</w:t>
      </w:r>
      <w:r>
        <w:t xml:space="preserve"> </w:t>
      </w:r>
      <w:r>
        <w:t xml:space="preserve">Suitable datasets include</w:t>
      </w:r>
      <w:r>
        <w:t xml:space="preserve"> </w:t>
      </w:r>
      <w:r>
        <w:rPr>
          <w:i/>
          <w:iCs/>
        </w:rPr>
        <w:t xml:space="preserve">open educational knowledge graphs</w:t>
      </w:r>
      <w:r>
        <w:t xml:space="preserve"> </w:t>
      </w:r>
      <w:r>
        <w:t xml:space="preserve">or standard curricula. For example, the</w:t>
      </w:r>
      <w:r>
        <w:t xml:space="preserve"> </w:t>
      </w:r>
      <w:r>
        <w:rPr>
          <w:b/>
          <w:bCs/>
        </w:rPr>
        <w:t xml:space="preserve">Illustrative Mathematics</w:t>
      </w:r>
      <w:r>
        <w:t xml:space="preserve"> </w:t>
      </w:r>
      <w:r>
        <w:t xml:space="preserve">curriculum graph (as referenced by CZI’s Knowledge Graph) is one source that maps math concepts and standards</w:t>
      </w:r>
      <w:hyperlink r:id="rId61">
        <w:r>
          <w:rPr>
            <w:rStyle w:val="Hyperlink"/>
          </w:rPr>
          <w:t xml:space="preserve">[26]</w:t>
        </w:r>
      </w:hyperlink>
      <w:r>
        <w:t xml:space="preserve">. There are also concept prerequisite datasets from educational data mining research (e.g., KDD Cup 2015 had data on learning concept dependencies) and resources like</w:t>
      </w:r>
      <w:r>
        <w:t xml:space="preserve"> </w:t>
      </w:r>
      <w:r>
        <w:rPr>
          <w:b/>
          <w:bCs/>
        </w:rPr>
        <w:t xml:space="preserve">ACM K12 curriculum graphs</w:t>
      </w:r>
      <w:r>
        <w:t xml:space="preserve"> </w:t>
      </w:r>
      <w:r>
        <w:t xml:space="preserve">or</w:t>
      </w:r>
      <w:r>
        <w:t xml:space="preserve"> </w:t>
      </w:r>
      <w:r>
        <w:rPr>
          <w:b/>
          <w:bCs/>
        </w:rPr>
        <w:t xml:space="preserve">Wikipedia concept linkages</w:t>
      </w:r>
      <w:r>
        <w:t xml:space="preserve"> </w:t>
      </w:r>
      <w:r>
        <w:t xml:space="preserve">for various subjects. One could also use</w:t>
      </w:r>
      <w:r>
        <w:t xml:space="preserve"> </w:t>
      </w:r>
      <w:r>
        <w:rPr>
          <w:b/>
          <w:bCs/>
        </w:rPr>
        <w:t xml:space="preserve">ConceptNet</w:t>
      </w:r>
      <w:r>
        <w:t xml:space="preserve"> </w:t>
      </w:r>
      <w:r>
        <w:t xml:space="preserve">as a general knowledge graph for common educational concepts. As a benchmark task, you might simulate</w:t>
      </w:r>
      <w:r>
        <w:t xml:space="preserve"> </w:t>
      </w:r>
      <w:r>
        <w:rPr>
          <w:b/>
          <w:bCs/>
        </w:rPr>
        <w:t xml:space="preserve">prerequisite prediction</w:t>
      </w:r>
      <w:r>
        <w:t xml:space="preserve">: hide an edge in the concept graph and see if S²-NS’s embedding and MST can recover it. Another evaluation is</w:t>
      </w:r>
      <w:r>
        <w:t xml:space="preserve"> </w:t>
      </w:r>
      <w:r>
        <w:rPr>
          <w:b/>
          <w:bCs/>
        </w:rPr>
        <w:t xml:space="preserve">curriculum sequencing quality</w:t>
      </w:r>
      <w:r>
        <w:t xml:space="preserve"> </w:t>
      </w:r>
      <w:r>
        <w:t xml:space="preserve">– given a set of target and pre-required concepts, does the S²-NS tree produce a sensible order? Human experts or existing curricula can provide ground truth sequences to compare against. Metrics such as</w:t>
      </w:r>
      <w:r>
        <w:t xml:space="preserve"> </w:t>
      </w:r>
      <w:r>
        <w:rPr>
          <w:b/>
          <w:bCs/>
        </w:rPr>
        <w:t xml:space="preserve">precision/recall of prerequisite edges</w:t>
      </w:r>
      <w:r>
        <w:t xml:space="preserve"> </w:t>
      </w:r>
      <w:r>
        <w:t xml:space="preserve">(if the graph is known), or qualitative measures of how well a generated learning path aligns with standard curricula, would be informative. Additionally, one can evaluate in a tutoring context: e.g., use a dataset of tutoring dialogues or Q&amp;A (like the ASSISTments or EdNet datasets) to see if the S²-NS-backed agent’s recommendations improve student outcomes (this could be measured by quiz performance or user ratings in user studies).</w:t>
      </w:r>
    </w:p>
    <w:p>
      <w:pPr>
        <w:numPr>
          <w:ilvl w:val="0"/>
          <w:numId w:val="1002"/>
        </w:numPr>
      </w:pPr>
      <w:r>
        <w:rPr>
          <w:b/>
          <w:bCs/>
        </w:rPr>
        <w:t xml:space="preserve">Healthcare Domain:</w:t>
      </w:r>
      <w:r>
        <w:t xml:space="preserve"> </w:t>
      </w:r>
      <w:r>
        <w:t xml:space="preserve">A rich source is the</w:t>
      </w:r>
      <w:r>
        <w:t xml:space="preserve"> </w:t>
      </w:r>
      <w:r>
        <w:rPr>
          <w:b/>
          <w:bCs/>
        </w:rPr>
        <w:t xml:space="preserve">UMLS (Unified Medical Language System)</w:t>
      </w:r>
      <w:r>
        <w:t xml:space="preserve"> </w:t>
      </w:r>
      <w:r>
        <w:t xml:space="preserve">or the subset</w:t>
      </w:r>
      <w:r>
        <w:t xml:space="preserve"> </w:t>
      </w:r>
      <w:r>
        <w:rPr>
          <w:b/>
          <w:bCs/>
        </w:rPr>
        <w:t xml:space="preserve">SNOMED CT</w:t>
      </w:r>
      <w:r>
        <w:t xml:space="preserve"> </w:t>
      </w:r>
      <w:r>
        <w:t xml:space="preserve">ontology, which provide an extensive graph of medical entities (diseases, symptoms, drugs) and relationships. These are openly available for research (UMLS with a license, SNOMED for many countries). For symptom-diagnosis reasoning specifically, some</w:t>
      </w:r>
      <w:r>
        <w:t xml:space="preserve"> </w:t>
      </w:r>
      <w:r>
        <w:rPr>
          <w:b/>
          <w:bCs/>
        </w:rPr>
        <w:t xml:space="preserve">medical diagnostic datasets</w:t>
      </w:r>
      <w:r>
        <w:t xml:space="preserve"> </w:t>
      </w:r>
      <w:r>
        <w:t xml:space="preserve">can serve as benchmarks – for example, the synthetic patient datasets like</w:t>
      </w:r>
      <w:r>
        <w:t xml:space="preserve"> </w:t>
      </w:r>
      <w:r>
        <w:rPr>
          <w:i/>
          <w:iCs/>
        </w:rPr>
        <w:t xml:space="preserve">Muzhi</w:t>
      </w:r>
      <w:r>
        <w:t xml:space="preserve"> </w:t>
      </w:r>
      <w:r>
        <w:t xml:space="preserve">or</w:t>
      </w:r>
      <w:r>
        <w:t xml:space="preserve"> </w:t>
      </w:r>
      <w:r>
        <w:rPr>
          <w:i/>
          <w:iCs/>
        </w:rPr>
        <w:t xml:space="preserve">DXL</w:t>
      </w:r>
      <w:r>
        <w:t xml:space="preserve"> </w:t>
      </w:r>
      <w:r>
        <w:t xml:space="preserve">used in medical automatic diagnosis research (as referenced by SPKGDiag in ICLR 2026</w:t>
      </w:r>
      <w:hyperlink r:id="rId62">
        <w:r>
          <w:rPr>
            <w:rStyle w:val="Hyperlink"/>
          </w:rPr>
          <w:t xml:space="preserve">[27]</w:t>
        </w:r>
      </w:hyperlink>
      <w:hyperlink r:id="rId63">
        <w:r>
          <w:rPr>
            <w:rStyle w:val="Hyperlink"/>
          </w:rPr>
          <w:t xml:space="preserve">[28]</w:t>
        </w:r>
      </w:hyperlink>
      <w:r>
        <w:t xml:space="preserve">). These typically provide patient cases with symptoms and the correct diagnosis. One can test if the S²-NS pipeline improves diagnostic accuracy: for instance, measure</w:t>
      </w:r>
      <w:r>
        <w:t xml:space="preserve"> </w:t>
      </w:r>
      <w:r>
        <w:rPr>
          <w:b/>
          <w:bCs/>
        </w:rPr>
        <w:t xml:space="preserve">Top-K accuracy</w:t>
      </w:r>
      <w:r>
        <w:t xml:space="preserve"> </w:t>
      </w:r>
      <w:r>
        <w:t xml:space="preserve">of predicting the correct condition given symptoms, with and without the S²-NS structured reasoning. Another evaluation could be</w:t>
      </w:r>
      <w:r>
        <w:t xml:space="preserve"> </w:t>
      </w:r>
      <w:r>
        <w:rPr>
          <w:b/>
          <w:bCs/>
        </w:rPr>
        <w:t xml:space="preserve">differential diagnosis recall</w:t>
      </w:r>
      <w:r>
        <w:t xml:space="preserve"> </w:t>
      </w:r>
      <w:r>
        <w:t xml:space="preserve">– does the system’s cluster of possible diseases include the correct one? Since interpretability is key in medicine, one can also have doctors review the AI’s reasoning chain for correctness (a subjective but crucial evaluation). There are also QA benchmarks like</w:t>
      </w:r>
      <w:r>
        <w:t xml:space="preserve"> </w:t>
      </w:r>
      <w:r>
        <w:rPr>
          <w:b/>
          <w:bCs/>
        </w:rPr>
        <w:t xml:space="preserve">MedQA</w:t>
      </w:r>
      <w:r>
        <w:t xml:space="preserve"> </w:t>
      </w:r>
      <w:r>
        <w:t xml:space="preserve">or</w:t>
      </w:r>
      <w:r>
        <w:t xml:space="preserve"> </w:t>
      </w:r>
      <w:r>
        <w:rPr>
          <w:b/>
          <w:bCs/>
        </w:rPr>
        <w:t xml:space="preserve">Clinical QA</w:t>
      </w:r>
      <w:r>
        <w:t xml:space="preserve"> </w:t>
      </w:r>
      <w:r>
        <w:t xml:space="preserve">where multi-hop reasoning is needed; integration of S²-NS could be evaluated by improvement in answer correctness on those. Metrics like</w:t>
      </w:r>
      <w:r>
        <w:t xml:space="preserve"> </w:t>
      </w:r>
      <w:r>
        <w:rPr>
          <w:b/>
          <w:bCs/>
        </w:rPr>
        <w:t xml:space="preserve">factual consistency</w:t>
      </w:r>
      <w:r>
        <w:t xml:space="preserve"> </w:t>
      </w:r>
      <w:r>
        <w:t xml:space="preserve">of explanations (perhaps scored by overlap with reference explanations or by expert rating) would measure the interpretability benefit. If available, use something like the</w:t>
      </w:r>
      <w:r>
        <w:t xml:space="preserve"> </w:t>
      </w:r>
      <w:r>
        <w:rPr>
          <w:b/>
          <w:bCs/>
        </w:rPr>
        <w:t xml:space="preserve">WikiDoc</w:t>
      </w:r>
      <w:r>
        <w:t xml:space="preserve"> </w:t>
      </w:r>
      <w:r>
        <w:t xml:space="preserve">or</w:t>
      </w:r>
      <w:r>
        <w:t xml:space="preserve"> </w:t>
      </w:r>
      <w:r>
        <w:rPr>
          <w:b/>
          <w:bCs/>
        </w:rPr>
        <w:t xml:space="preserve">healthcare knowledge graphs</w:t>
      </w:r>
      <w:r>
        <w:t xml:space="preserve"> </w:t>
      </w:r>
      <w:r>
        <w:t xml:space="preserve">from research (e.g., PubMedQA with graph context) to test multi-hop question answering.</w:t>
      </w:r>
    </w:p>
    <w:p>
      <w:pPr>
        <w:numPr>
          <w:ilvl w:val="0"/>
          <w:numId w:val="1002"/>
        </w:numPr>
      </w:pPr>
      <w:r>
        <w:rPr>
          <w:b/>
          <w:bCs/>
        </w:rPr>
        <w:t xml:space="preserve">Legal Domain:</w:t>
      </w:r>
      <w:r>
        <w:t xml:space="preserve"> </w:t>
      </w:r>
      <w:r>
        <w:t xml:space="preserve">For legal assistants, one can leverage open case law corpora such as the</w:t>
      </w:r>
      <w:r>
        <w:t xml:space="preserve"> </w:t>
      </w:r>
      <w:r>
        <w:rPr>
          <w:b/>
          <w:bCs/>
        </w:rPr>
        <w:t xml:space="preserve">CaseLaw Access Project</w:t>
      </w:r>
      <w:r>
        <w:t xml:space="preserve"> </w:t>
      </w:r>
      <w:r>
        <w:t xml:space="preserve">(which provides millions of U.S. court decisions in text, from which citation graphs can be extracted) or the</w:t>
      </w:r>
      <w:r>
        <w:t xml:space="preserve"> </w:t>
      </w:r>
      <w:r>
        <w:rPr>
          <w:b/>
          <w:bCs/>
        </w:rPr>
        <w:t xml:space="preserve">CourtListener</w:t>
      </w:r>
      <w:r>
        <w:t xml:space="preserve"> </w:t>
      </w:r>
      <w:r>
        <w:t xml:space="preserve">database (which includes Supreme Court and other court opinions along with citations)</w:t>
      </w:r>
      <w:hyperlink r:id="rId64">
        <w:r>
          <w:rPr>
            <w:rStyle w:val="Hyperlink"/>
          </w:rPr>
          <w:t xml:space="preserve">[29]</w:t>
        </w:r>
      </w:hyperlink>
      <w:r>
        <w:t xml:space="preserve">. There is also the</w:t>
      </w:r>
      <w:r>
        <w:t xml:space="preserve"> </w:t>
      </w:r>
      <w:r>
        <w:rPr>
          <w:b/>
          <w:bCs/>
        </w:rPr>
        <w:t xml:space="preserve">LePaRD dataset</w:t>
      </w:r>
      <w:r>
        <w:t xml:space="preserve"> </w:t>
      </w:r>
      <w:r>
        <w:t xml:space="preserve">(2023) which contains millions of citation examples (judge citations of precedents) for training retrieval models</w:t>
      </w:r>
      <w:hyperlink r:id="rId65">
        <w:r>
          <w:rPr>
            <w:rStyle w:val="Hyperlink"/>
          </w:rPr>
          <w:t xml:space="preserve">[30]</w:t>
        </w:r>
      </w:hyperlink>
      <w:r>
        <w:t xml:space="preserve">. As benchmarks, the annual</w:t>
      </w:r>
      <w:r>
        <w:t xml:space="preserve"> </w:t>
      </w:r>
      <w:r>
        <w:rPr>
          <w:b/>
          <w:bCs/>
        </w:rPr>
        <w:t xml:space="preserve">COLIEE</w:t>
      </w:r>
      <w:r>
        <w:t xml:space="preserve"> </w:t>
      </w:r>
      <w:r>
        <w:t xml:space="preserve">competition provides tasks on legal case retrieval and entailment – for example, given a new case, retrieve supporting precedents (a good test of multi-hop retrieval), or determine if one case entails the decision of another. An S²-NS-based system can be evaluated on COLIEE retrieval scores (precision, recall, F1 of finding relevant cases). Another possible benchmark is</w:t>
      </w:r>
      <w:r>
        <w:t xml:space="preserve"> </w:t>
      </w:r>
      <w:r>
        <w:rPr>
          <w:b/>
          <w:bCs/>
        </w:rPr>
        <w:t xml:space="preserve">contract QA</w:t>
      </w:r>
      <w:r>
        <w:t xml:space="preserve"> </w:t>
      </w:r>
      <w:r>
        <w:t xml:space="preserve">(like the CUAD dataset for question answering on contracts) – while not a graph task per se, a GraphSAGE could encode a contract’s semantic graph and might help in complex queries. In terms of evaluation metrics:</w:t>
      </w:r>
      <w:r>
        <w:t xml:space="preserve"> </w:t>
      </w:r>
      <w:r>
        <w:rPr>
          <w:b/>
          <w:bCs/>
        </w:rPr>
        <w:t xml:space="preserve">Mean Average Precision (MAP)</w:t>
      </w:r>
      <w:r>
        <w:t xml:space="preserve"> </w:t>
      </w:r>
      <w:r>
        <w:t xml:space="preserve">or</w:t>
      </w:r>
      <w:r>
        <w:t xml:space="preserve"> </w:t>
      </w:r>
      <w:r>
        <w:rPr>
          <w:b/>
          <w:bCs/>
        </w:rPr>
        <w:t xml:space="preserve">Hits@K</w:t>
      </w:r>
      <w:r>
        <w:t xml:space="preserve"> </w:t>
      </w:r>
      <w:r>
        <w:t xml:space="preserve">for retrieving relevant cases given a query case,</w:t>
      </w:r>
      <w:r>
        <w:t xml:space="preserve"> </w:t>
      </w:r>
      <w:r>
        <w:rPr>
          <w:b/>
          <w:bCs/>
        </w:rPr>
        <w:t xml:space="preserve">accuracy</w:t>
      </w:r>
      <w:r>
        <w:t xml:space="preserve"> </w:t>
      </w:r>
      <w:r>
        <w:t xml:space="preserve">of legal reasoning (did the AI correctly identify applicable precedents?), and again</w:t>
      </w:r>
      <w:r>
        <w:t xml:space="preserve"> </w:t>
      </w:r>
      <w:r>
        <w:rPr>
          <w:b/>
          <w:bCs/>
        </w:rPr>
        <w:t xml:space="preserve">human evaluation</w:t>
      </w:r>
      <w:r>
        <w:t xml:space="preserve"> </w:t>
      </w:r>
      <w:r>
        <w:t xml:space="preserve">of explanation quality (does the agent provide a convincing legal reasoning path?). One could measure how often the system’s suggested chain of precedents matches what a human lawyer or judge wrote in an opinion (perhaps using the LePaRD dataset which links citations to reasoning). Additionally, the size of the search space explored can be measured – e.g., does structuring via S²-NS reduce the number of documents the system had to consider (efficiency gain)?</w:t>
      </w:r>
    </w:p>
    <w:p>
      <w:pPr>
        <w:numPr>
          <w:ilvl w:val="0"/>
          <w:numId w:val="1002"/>
        </w:numPr>
      </w:pPr>
      <w:r>
        <w:rPr>
          <w:b/>
          <w:bCs/>
        </w:rPr>
        <w:t xml:space="preserve">General Multi-hop Reasoning Benchmarks:</w:t>
      </w:r>
      <w:r>
        <w:t xml:space="preserve"> </w:t>
      </w:r>
      <w:r>
        <w:t xml:space="preserve">Beyond domain-specific ones, there are generic benchmarks that test multi-hop QA and could be used to validate domain-agnostic capability. Datasets like</w:t>
      </w:r>
      <w:r>
        <w:t xml:space="preserve"> </w:t>
      </w:r>
      <w:r>
        <w:rPr>
          <w:b/>
          <w:bCs/>
        </w:rPr>
        <w:t xml:space="preserve">WikiHop</w:t>
      </w:r>
      <w:r>
        <w:t xml:space="preserve">,</w:t>
      </w:r>
      <w:r>
        <w:t xml:space="preserve"> </w:t>
      </w:r>
      <w:r>
        <w:rPr>
          <w:b/>
          <w:bCs/>
        </w:rPr>
        <w:t xml:space="preserve">HotpotQA</w:t>
      </w:r>
      <w:r>
        <w:t xml:space="preserve">, or</w:t>
      </w:r>
      <w:r>
        <w:t xml:space="preserve"> </w:t>
      </w:r>
      <w:r>
        <w:rPr>
          <w:b/>
          <w:bCs/>
        </w:rPr>
        <w:t xml:space="preserve">2WikiMultihopQA</w:t>
      </w:r>
      <w:r>
        <w:t xml:space="preserve"> </w:t>
      </w:r>
      <w:r>
        <w:t xml:space="preserve">involve finding connections between entities in Wikipedia to answer questions. While these are not specialized to education/medicine/law, they are a good sanity check for S²-NS’s multi-hop reasoning. One could plug in an open knowledge graph (e.g., WikiData) and see if S²-NS improves the correctness or interpretability on those tasks. Evaluation metrics there would be exact match or F1 score for question answering, and perhaps a measure of explanation quality if the task demands showing the reasoning path.</w:t>
      </w:r>
    </w:p>
    <w:p>
      <w:pPr>
        <w:pStyle w:val="FirstParagraph"/>
      </w:pPr>
      <w:r>
        <w:rPr>
          <w:b/>
          <w:bCs/>
        </w:rPr>
        <w:t xml:space="preserve">Evaluation Criteria:</w:t>
      </w:r>
      <w:r>
        <w:t xml:space="preserve"> </w:t>
      </w:r>
      <w:r>
        <w:t xml:space="preserve">To summarize, the evaluation of an S²-NS powered agent should cover: (1)</w:t>
      </w:r>
      <w:r>
        <w:t xml:space="preserve"> </w:t>
      </w:r>
      <w:r>
        <w:rPr>
          <w:b/>
          <w:bCs/>
        </w:rPr>
        <w:t xml:space="preserve">Accuracy/Task performance</w:t>
      </w:r>
      <w:r>
        <w:t xml:space="preserve"> </w:t>
      </w:r>
      <w:r>
        <w:t xml:space="preserve">– does it answer questions or make decisions correctly more often than baselines? (2)</w:t>
      </w:r>
      <w:r>
        <w:t xml:space="preserve"> </w:t>
      </w:r>
      <w:r>
        <w:rPr>
          <w:b/>
          <w:bCs/>
        </w:rPr>
        <w:t xml:space="preserve">Efficiency</w:t>
      </w:r>
      <w:r>
        <w:t xml:space="preserve"> </w:t>
      </w:r>
      <w:r>
        <w:t xml:space="preserve">– does clustering and pruning improve response time or reduce search space? (3)</w:t>
      </w:r>
      <w:r>
        <w:t xml:space="preserve"> </w:t>
      </w:r>
      <w:r>
        <w:rPr>
          <w:b/>
          <w:bCs/>
        </w:rPr>
        <w:t xml:space="preserve">Robustness</w:t>
      </w:r>
      <w:r>
        <w:t xml:space="preserve"> </w:t>
      </w:r>
      <w:r>
        <w:t xml:space="preserve">– test on perturbed or noisy input to see if it handles them gracefully (e.g., add a irrelevant symptom and see if the medical diagnosis is stable, indicating noise was ignored). (4)</w:t>
      </w:r>
      <w:r>
        <w:t xml:space="preserve"> </w:t>
      </w:r>
      <w:r>
        <w:rPr>
          <w:b/>
          <w:bCs/>
        </w:rPr>
        <w:t xml:space="preserve">Interpretability</w:t>
      </w:r>
      <w:r>
        <w:t xml:space="preserve"> </w:t>
      </w:r>
      <w:r>
        <w:t xml:space="preserve">– perhaps the hardest to quantify, but one can use proxy metrics like the complexity of explanation (shorter, clearer chains might be better) or conduct user studies where users rate the helpfulness of explanations. Another angle is measuring</w:t>
      </w:r>
      <w:r>
        <w:t xml:space="preserve"> </w:t>
      </w:r>
      <w:r>
        <w:rPr>
          <w:b/>
          <w:bCs/>
        </w:rPr>
        <w:t xml:space="preserve">consistency</w:t>
      </w:r>
      <w:r>
        <w:t xml:space="preserve"> </w:t>
      </w:r>
      <w:r>
        <w:t xml:space="preserve">of reasoning: for example, if asked the same question in different forms, does the agent consistently follow the same underlying reasoning graph (indicating it’s not just generating answers arbitrarily). The paper on SNOMED CT-based reasoning reported improved</w:t>
      </w:r>
      <w:r>
        <w:t xml:space="preserve"> </w:t>
      </w:r>
      <w:r>
        <w:rPr>
          <w:i/>
          <w:iCs/>
        </w:rPr>
        <w:t xml:space="preserve">clinical logic consistency</w:t>
      </w:r>
      <w:hyperlink r:id="rId45">
        <w:r>
          <w:rPr>
            <w:rStyle w:val="Hyperlink"/>
          </w:rPr>
          <w:t xml:space="preserve">[18]</w:t>
        </w:r>
      </w:hyperlink>
      <w:r>
        <w:t xml:space="preserve"> </w:t>
      </w:r>
      <w:r>
        <w:t xml:space="preserve">– similarly, one could measure consistency in legal arguments or tutor feedback (maybe via self-consistency checks or expert review).</w:t>
      </w:r>
    </w:p>
    <w:p>
      <w:pPr>
        <w:pStyle w:val="BodyText"/>
      </w:pPr>
      <w:r>
        <w:t xml:space="preserve">In all cases, it’s important to compare the S²-NS integrated agent with a baseline (perhaps the same agent but without using the graph, or using a simpler knowledge retrieval method) to quantify the improvements. The expectation is that S²-NS will particularly shine in complex queries that truly require multi-hop reasoning and where a purely neural approach might get lost or hallucinate. By demonstrating better performance on those, one showcases the value of the neuro-symbolic approach.</w:t>
      </w:r>
    </w:p>
    <w:bookmarkEnd w:id="66"/>
    <w:bookmarkStart w:id="67" w:name="conclusion"/>
    <w:p>
      <w:pPr>
        <w:pStyle w:val="Heading2"/>
      </w:pPr>
      <w:r>
        <w:t xml:space="preserve">Conclusion</w:t>
      </w:r>
    </w:p>
    <w:p>
      <w:pPr>
        <w:pStyle w:val="FirstParagraph"/>
      </w:pPr>
      <w:r>
        <w:t xml:space="preserve">The S²-NS Solver architecture offers a powerful, generalizable approach to grounding conversational AI in knowledge graph reasoning. By marrying</w:t>
      </w:r>
      <w:r>
        <w:t xml:space="preserve"> </w:t>
      </w:r>
      <w:r>
        <w:rPr>
          <w:b/>
          <w:bCs/>
        </w:rPr>
        <w:t xml:space="preserve">GraphSAGE’s inductive embeddings</w:t>
      </w:r>
      <w:r>
        <w:t xml:space="preserve"> </w:t>
      </w:r>
      <w:r>
        <w:t xml:space="preserve">(with max-pooling neighbor aggregation) and</w:t>
      </w:r>
      <w:r>
        <w:t xml:space="preserve"> </w:t>
      </w:r>
      <w:r>
        <w:rPr>
          <w:b/>
          <w:bCs/>
        </w:rPr>
        <w:t xml:space="preserve">contrastive self-supervised training</w:t>
      </w:r>
      <w:r>
        <w:t xml:space="preserve"> </w:t>
      </w:r>
      <w:r>
        <w:t xml:space="preserve">with</w:t>
      </w:r>
      <w:r>
        <w:t xml:space="preserve"> </w:t>
      </w:r>
      <w:r>
        <w:rPr>
          <w:b/>
          <w:bCs/>
        </w:rPr>
        <w:t xml:space="preserve">symbolic algorithms</w:t>
      </w:r>
      <w:r>
        <w:t xml:space="preserve"> </w:t>
      </w:r>
      <w:r>
        <w:t xml:space="preserve">like clustering and MST-based structure extraction, S²-NS creates a concise, reliable model of the knowledge that can drive multi-step reasoning across domains. We highlighted how this neuro-symbolic pipeline remains domain-agnostic – requiring no manual rules, only the raw graph data – yet produces domain-relevant structures that greatly benefit agents in education, healthcare, and legal domains. In each example scenario, S²-NS improved the agent’s</w:t>
      </w:r>
      <w:r>
        <w:t xml:space="preserve"> </w:t>
      </w:r>
      <w:r>
        <w:rPr>
          <w:b/>
          <w:bCs/>
        </w:rPr>
        <w:t xml:space="preserve">robustness</w:t>
      </w:r>
      <w:r>
        <w:t xml:space="preserve"> </w:t>
      </w:r>
      <w:r>
        <w:t xml:space="preserve">(handling noisy inputs, avoiding logical errors) and</w:t>
      </w:r>
      <w:r>
        <w:t xml:space="preserve"> </w:t>
      </w:r>
      <w:r>
        <w:rPr>
          <w:b/>
          <w:bCs/>
        </w:rPr>
        <w:t xml:space="preserve">interpretability</w:t>
      </w:r>
      <w:r>
        <w:t xml:space="preserve"> </w:t>
      </w:r>
      <w:r>
        <w:t xml:space="preserve">(providing clear reasoning chains grounded in the knowledge graph). Technically, we have outlined how one can implement S²-NS as a prototype: training GraphSAGE with contrastive objectives, tuning graph augmentations, clustering with DBSCAN to prune outliers, and extracting an MST backbone for the final reasoning structure. We also discussed how such a structured solver can be integrated with Large Language Models – either as a source of truth for retrieval or as a scaffold for the LLM’s chain-of-thought – to form a synergistic system that leverages both the parametric power of LLMs and the reliability of symbolic knowledge.</w:t>
      </w:r>
    </w:p>
    <w:p>
      <w:pPr>
        <w:pStyle w:val="BodyText"/>
      </w:pPr>
      <w:r>
        <w:t xml:space="preserve">Moving forward, developers can leverage open datasets in each domain (from academic curricula to medical ontologies to case law databases) to train and evaluate S²-NS-based agents. Key evaluation metrics will focus on multi-hop reasoning success and the quality of explanations, ensuring that the system not only arrives at correct answers but does so via a traceable and trustworthy route. The S²-NS architecture embodies the principles of</w:t>
      </w:r>
      <w:r>
        <w:t xml:space="preserve"> </w:t>
      </w:r>
      <w:r>
        <w:rPr>
          <w:b/>
          <w:bCs/>
        </w:rPr>
        <w:t xml:space="preserve">neuro-symbolic AI</w:t>
      </w:r>
      <w:r>
        <w:t xml:space="preserve"> </w:t>
      </w:r>
      <w:r>
        <w:t xml:space="preserve">– combining neural representation learning with logical structure – and stands as a promising template for next-generation conversational agents like AI tutors, digital doctors, and legal assistants that users can rely on for complex, step-by-step reasoning. By implementing S²-NS, one can expect a conversational system that is knowledgeable, reasoned, and capable of</w:t>
      </w:r>
      <w:r>
        <w:t xml:space="preserve"> </w:t>
      </w:r>
      <w:r>
        <w:rPr>
          <w:b/>
          <w:bCs/>
        </w:rPr>
        <w:t xml:space="preserve">explaining its answers</w:t>
      </w:r>
      <w:r>
        <w:t xml:space="preserve">, which is critical for user trust in high-stakes domains.</w:t>
      </w:r>
    </w:p>
    <w:bookmarkEnd w:id="67"/>
    <w:bookmarkEnd w:id="68"/>
    <w:bookmarkEnd w:id="69"/>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cs.stanford.edu</w:t>
      </w:r>
    </w:p>
    <w:p>
      <w:pPr>
        <w:pStyle w:val="BodyText"/>
      </w:pPr>
      <w:hyperlink r:id="rId70">
        <w:r>
          <w:rPr>
            <w:rStyle w:val="Hyperlink"/>
          </w:rPr>
          <w:t xml:space="preserve">https://cs.stanford.edu/people/jure/pubs/graphsage-nips17.pdf</w:t>
        </w:r>
      </w:hyperlink>
    </w:p>
    <w:p>
      <w:pPr>
        <w:pStyle w:val="BodyText"/>
      </w:pPr>
      <w:hyperlink r:id="rId26">
        <w:r>
          <w:rPr>
            <w:rStyle w:val="Hyperlink"/>
          </w:rPr>
          <w:t xml:space="preserve">[5]</w:t>
        </w:r>
      </w:hyperlink>
      <w:r>
        <w:t xml:space="preserve"> </w:t>
      </w:r>
      <w:r>
        <w:t xml:space="preserve">[2010.13902] Graph Contrastive Learning with Augmentations</w:t>
      </w:r>
    </w:p>
    <w:p>
      <w:pPr>
        <w:pStyle w:val="BodyText"/>
      </w:pPr>
      <w:hyperlink r:id="rId71">
        <w:r>
          <w:rPr>
            <w:rStyle w:val="Hyperlink"/>
          </w:rPr>
          <w:t xml:space="preserve">https://arxiv.org/abs/2010.13902</w:t>
        </w:r>
      </w:hyperlink>
    </w:p>
    <w:p>
      <w:pPr>
        <w:pStyle w:val="BodyText"/>
      </w:pPr>
      <w:hyperlink r:id="rId27">
        <w:r>
          <w:rPr>
            <w:rStyle w:val="Hyperlink"/>
          </w:rPr>
          <w:t xml:space="preserve">[6]</w:t>
        </w:r>
      </w:hyperlink>
      <w:r>
        <w:t xml:space="preserve"> </w:t>
      </w:r>
      <w:r>
        <w:t xml:space="preserve">www4.comp.polyu.edu.hk</w:t>
      </w:r>
    </w:p>
    <w:p>
      <w:pPr>
        <w:pStyle w:val="BodyText"/>
      </w:pPr>
      <w:hyperlink r:id="rId72">
        <w:r>
          <w:rPr>
            <w:rStyle w:val="Hyperlink"/>
          </w:rPr>
          <w:t xml:space="preserve">https://www4.comp.polyu.edu.hk/~xiaohuang/docs/2024TKDE_Xin.pdf</w:t>
        </w:r>
      </w:hyperlink>
    </w:p>
    <w:p>
      <w:pPr>
        <w:pStyle w:val="BodyText"/>
      </w:pPr>
      <w:hyperlink r:id="rId28">
        <w:r>
          <w:rPr>
            <w:rStyle w:val="Hyperlink"/>
          </w:rPr>
          <w:t xml:space="preserve">[7]</w:t>
        </w:r>
      </w:hyperlink>
      <w:r>
        <w:t xml:space="preserve"> </w:t>
      </w:r>
      <w:r>
        <w:t xml:space="preserve">Graph contrastive learning with node-level accurate difference - PMC</w:t>
      </w:r>
    </w:p>
    <w:p>
      <w:pPr>
        <w:pStyle w:val="BodyText"/>
      </w:pPr>
      <w:hyperlink r:id="rId73">
        <w:r>
          <w:rPr>
            <w:rStyle w:val="Hyperlink"/>
          </w:rPr>
          <w:t xml:space="preserve">https://pmc.ncbi.nlm.nih.gov/articles/PMC11997587/</w:t>
        </w:r>
      </w:hyperlink>
    </w:p>
    <w:p>
      <w:pPr>
        <w:pStyle w:val="BodyText"/>
      </w:pPr>
      <w:hyperlink r:id="rId30">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Anomaly Detection Based on GCNs and DBSCAN in a Large-Scale Graph | MDPI</w:t>
      </w:r>
    </w:p>
    <w:p>
      <w:pPr>
        <w:pStyle w:val="BodyText"/>
      </w:pPr>
      <w:hyperlink r:id="rId74">
        <w:r>
          <w:rPr>
            <w:rStyle w:val="Hyperlink"/>
          </w:rPr>
          <w:t xml:space="preserve">https://www.mdpi.com/2079-9292/13/13/2625</w:t>
        </w:r>
      </w:hyperlink>
    </w:p>
    <w:p>
      <w:pPr>
        <w:pStyle w:val="BodyText"/>
      </w:pPr>
      <w:hyperlink r:id="rId31">
        <w:r>
          <w:rPr>
            <w:rStyle w:val="Hyperlink"/>
          </w:rPr>
          <w:t xml:space="preserve">[9]</w:t>
        </w:r>
      </w:hyperlink>
      <w:r>
        <w:t xml:space="preserve"> </w:t>
      </w:r>
      <w:r>
        <w:t xml:space="preserve">Learned Semantic Index Structure Using Knowledge Graph Embedding and Density-Based Spatial Clustering Techniques</w:t>
      </w:r>
    </w:p>
    <w:p>
      <w:pPr>
        <w:pStyle w:val="BodyText"/>
      </w:pPr>
      <w:hyperlink r:id="rId75">
        <w:r>
          <w:rPr>
            <w:rStyle w:val="Hyperlink"/>
          </w:rPr>
          <w:t xml:space="preserve">https://www.mdpi.com/2076-3417/12/13/6713</w:t>
        </w:r>
      </w:hyperlink>
    </w:p>
    <w:p>
      <w:pPr>
        <w:pStyle w:val="BodyText"/>
      </w:pPr>
      <w:hyperlink r:id="rId35">
        <w:r>
          <w:rPr>
            <w:rStyle w:val="Hyperlink"/>
          </w:rPr>
          <w:t xml:space="preserve">[12]</w:t>
        </w:r>
      </w:hyperlink>
      <w:r>
        <w:t xml:space="preserve"> </w:t>
      </w:r>
      <w:r>
        <w:t xml:space="preserve">Why the Metric Backbone Preserves Community Structure</w:t>
      </w:r>
    </w:p>
    <w:p>
      <w:pPr>
        <w:pStyle w:val="BodyText"/>
      </w:pPr>
      <w:hyperlink r:id="rId76">
        <w:r>
          <w:rPr>
            <w:rStyle w:val="Hyperlink"/>
          </w:rPr>
          <w:t xml:space="preserve">https://www.emergentmind.com/papers/2406.03852</w:t>
        </w:r>
      </w:hyperlink>
    </w:p>
    <w:p>
      <w:pPr>
        <w:pStyle w:val="BodyText"/>
      </w:pPr>
      <w:hyperlink r:id="rId38">
        <w:r>
          <w:rPr>
            <w:rStyle w:val="Hyperlink"/>
          </w:rPr>
          <w:t xml:space="preserve">[13]</w:t>
        </w:r>
      </w:hyperlink>
      <w:r>
        <w:t xml:space="preserve"> </w:t>
      </w:r>
      <w:hyperlink r:id="rId56">
        <w:r>
          <w:rPr>
            <w:rStyle w:val="Hyperlink"/>
          </w:rPr>
          <w:t xml:space="preserve">[23]</w:t>
        </w:r>
      </w:hyperlink>
      <w:r>
        <w:t xml:space="preserve"> </w:t>
      </w:r>
      <w:hyperlink r:id="rId57">
        <w:r>
          <w:rPr>
            <w:rStyle w:val="Hyperlink"/>
          </w:rPr>
          <w:t xml:space="preserve">[24]</w:t>
        </w:r>
      </w:hyperlink>
      <w:r>
        <w:t xml:space="preserve"> </w:t>
      </w:r>
      <w:hyperlink r:id="rId58">
        <w:r>
          <w:rPr>
            <w:rStyle w:val="Hyperlink"/>
          </w:rPr>
          <w:t xml:space="preserve">[25]</w:t>
        </w:r>
      </w:hyperlink>
      <w:r>
        <w:t xml:space="preserve"> </w:t>
      </w:r>
      <w:r>
        <w:t xml:space="preserve">Solving the Hallucination Problem Once and for all using Smart ...</w:t>
      </w:r>
    </w:p>
    <w:p>
      <w:pPr>
        <w:pStyle w:val="BodyText"/>
      </w:pPr>
      <w:hyperlink r:id="rId77">
        <w:r>
          <w:rPr>
            <w:rStyle w:val="Hyperlink"/>
          </w:rPr>
          <w:t xml:space="preserve">https://medium.com/@JamesStakelum/solving-the-hallucination-problem-how-smarter-methods-can-reduce-hallucinations-bfc2c4744a3e</w:t>
        </w:r>
      </w:hyperlink>
    </w:p>
    <w:p>
      <w:pPr>
        <w:pStyle w:val="BodyText"/>
      </w:pPr>
      <w:hyperlink r:id="rId39">
        <w:r>
          <w:rPr>
            <w:rStyle w:val="Hyperlink"/>
          </w:rPr>
          <w:t xml:space="preserve">[14]</w:t>
        </w:r>
      </w:hyperlink>
      <w:r>
        <w:t xml:space="preserve"> </w:t>
      </w:r>
      <w:r>
        <w:t xml:space="preserve">leveraging large language models for enhanced reasoning over ...</w:t>
      </w:r>
    </w:p>
    <w:p>
      <w:pPr>
        <w:pStyle w:val="BodyText"/>
      </w:pPr>
      <w:hyperlink r:id="rId78">
        <w:r>
          <w:rPr>
            <w:rStyle w:val="Hyperlink"/>
          </w:rPr>
          <w:t xml:space="preserve">https://link.springer.com/article/10.1007/s40747-024-01527-8</w:t>
        </w:r>
      </w:hyperlink>
    </w:p>
    <w:p>
      <w:pPr>
        <w:pStyle w:val="BodyText"/>
      </w:pPr>
      <w:hyperlink r:id="rId41">
        <w:r>
          <w:rPr>
            <w:rStyle w:val="Hyperlink"/>
          </w:rPr>
          <w:t xml:space="preserve">[15]</w:t>
        </w:r>
      </w:hyperlink>
      <w:r>
        <w:t xml:space="preserve"> </w:t>
      </w:r>
      <w:hyperlink r:id="rId42">
        <w:r>
          <w:rPr>
            <w:rStyle w:val="Hyperlink"/>
          </w:rPr>
          <w:t xml:space="preserve">[16]</w:t>
        </w:r>
      </w:hyperlink>
      <w:r>
        <w:t xml:space="preserve"> </w:t>
      </w:r>
      <w:hyperlink r:id="rId61">
        <w:r>
          <w:rPr>
            <w:rStyle w:val="Hyperlink"/>
          </w:rPr>
          <w:t xml:space="preserve">[26]</w:t>
        </w:r>
      </w:hyperlink>
      <w:r>
        <w:t xml:space="preserve"> </w:t>
      </w:r>
      <w:r>
        <w:t xml:space="preserve">Knowledge Graph-Powered AI Tools Reflect Learning Science</w:t>
      </w:r>
    </w:p>
    <w:p>
      <w:pPr>
        <w:pStyle w:val="BodyText"/>
      </w:pPr>
      <w:hyperlink r:id="rId79">
        <w:r>
          <w:rPr>
            <w:rStyle w:val="Hyperlink"/>
          </w:rPr>
          <w:t xml:space="preserve">https://chanzuckerberg.com/blog/knowledge-graph-ai-education/</w:t>
        </w:r>
      </w:hyperlink>
    </w:p>
    <w:p>
      <w:pPr>
        <w:pStyle w:val="BodyText"/>
      </w:pPr>
      <w:hyperlink r:id="rId44">
        <w:r>
          <w:rPr>
            <w:rStyle w:val="Hyperlink"/>
          </w:rPr>
          <w:t xml:space="preserve">[17]</w:t>
        </w:r>
      </w:hyperlink>
      <w:r>
        <w:t xml:space="preserve"> </w:t>
      </w:r>
      <w:hyperlink r:id="rId45">
        <w:r>
          <w:rPr>
            <w:rStyle w:val="Hyperlink"/>
          </w:rPr>
          <w:t xml:space="preserve">[18]</w:t>
        </w:r>
      </w:hyperlink>
      <w:r>
        <w:t xml:space="preserve"> </w:t>
      </w:r>
      <w:r>
        <w:t xml:space="preserve">[2510.16899] SNOMED CT-powered Knowledge Graphs for Structured Clinical Data and Diagnostic Reasoning</w:t>
      </w:r>
    </w:p>
    <w:p>
      <w:pPr>
        <w:pStyle w:val="BodyText"/>
      </w:pPr>
      <w:hyperlink r:id="rId80">
        <w:r>
          <w:rPr>
            <w:rStyle w:val="Hyperlink"/>
          </w:rPr>
          <w:t xml:space="preserve">https://arxiv.org/abs/2510.16899</w:t>
        </w:r>
      </w:hyperlink>
    </w:p>
    <w:p>
      <w:pPr>
        <w:pStyle w:val="BodyText"/>
      </w:pPr>
      <w:hyperlink r:id="rId47">
        <w:r>
          <w:rPr>
            <w:rStyle w:val="Hyperlink"/>
          </w:rPr>
          <w:t xml:space="preserve">[19]</w:t>
        </w:r>
      </w:hyperlink>
      <w:r>
        <w:t xml:space="preserve"> </w:t>
      </w:r>
      <w:hyperlink r:id="rId48">
        <w:r>
          <w:rPr>
            <w:rStyle w:val="Hyperlink"/>
          </w:rPr>
          <w:t xml:space="preserve">[20]</w:t>
        </w:r>
      </w:hyperlink>
      <w:r>
        <w:t xml:space="preserve"> </w:t>
      </w:r>
      <w:hyperlink r:id="rId49">
        <w:r>
          <w:rPr>
            <w:rStyle w:val="Hyperlink"/>
          </w:rPr>
          <w:t xml:space="preserve">[21]</w:t>
        </w:r>
      </w:hyperlink>
      <w:r>
        <w:t xml:space="preserve"> </w:t>
      </w:r>
      <w:r>
        <w:t xml:space="preserve">From Legal Documents to Knowledge Graphs | by Tomaz Bratanic | Neo4j Developer Blog | Medium</w:t>
      </w:r>
    </w:p>
    <w:p>
      <w:pPr>
        <w:pStyle w:val="BodyText"/>
      </w:pPr>
      <w:hyperlink r:id="rId81">
        <w:r>
          <w:rPr>
            <w:rStyle w:val="Hyperlink"/>
          </w:rPr>
          <w:t xml:space="preserve">https://medium.com/neo4j/from-legal-documents-to-knowledge-graphs-ccd9cb062320</w:t>
        </w:r>
      </w:hyperlink>
    </w:p>
    <w:p>
      <w:pPr>
        <w:pStyle w:val="BodyText"/>
      </w:pPr>
      <w:hyperlink r:id="rId52">
        <w:r>
          <w:rPr>
            <w:rStyle w:val="Hyperlink"/>
          </w:rPr>
          <w:t xml:space="preserve">[22]</w:t>
        </w:r>
      </w:hyperlink>
      <w:r>
        <w:t xml:space="preserve"> </w:t>
      </w:r>
      <w:r>
        <w:t xml:space="preserve">[PDF] Why Does Dropping Edges Usually Outperform Adding Edges in ...</w:t>
      </w:r>
    </w:p>
    <w:p>
      <w:pPr>
        <w:pStyle w:val="BodyText"/>
      </w:pPr>
      <w:hyperlink r:id="rId82">
        <w:r>
          <w:rPr>
            <w:rStyle w:val="Hyperlink"/>
          </w:rPr>
          <w:t xml:space="preserve">https://ojs.aaai.org/index.php/AAAI/article/view/35488/37643</w:t>
        </w:r>
      </w:hyperlink>
    </w:p>
    <w:p>
      <w:pPr>
        <w:pStyle w:val="BodyText"/>
      </w:pPr>
      <w:hyperlink r:id="rId62">
        <w:r>
          <w:rPr>
            <w:rStyle w:val="Hyperlink"/>
          </w:rPr>
          <w:t xml:space="preserve">[27]</w:t>
        </w:r>
      </w:hyperlink>
      <w:r>
        <w:t xml:space="preserve"> </w:t>
      </w:r>
      <w:hyperlink r:id="rId63">
        <w:r>
          <w:rPr>
            <w:rStyle w:val="Hyperlink"/>
          </w:rPr>
          <w:t xml:space="preserve">[28]</w:t>
        </w:r>
      </w:hyperlink>
      <w:r>
        <w:t xml:space="preserve"> </w:t>
      </w:r>
      <w:r>
        <w:t xml:space="preserve">SPKGDiag: Learning Symptom-Linked Patient Knowledge Graphs via Multi-Hop Similarity Message Passing for Automatic Diagnosis | OpenReview</w:t>
      </w:r>
    </w:p>
    <w:p>
      <w:pPr>
        <w:pStyle w:val="BodyText"/>
      </w:pPr>
      <w:hyperlink r:id="rId83">
        <w:r>
          <w:rPr>
            <w:rStyle w:val="Hyperlink"/>
          </w:rPr>
          <w:t xml:space="preserve">https://openreview.net/forum?id=Kh950JEY88</w:t>
        </w:r>
      </w:hyperlink>
    </w:p>
    <w:p>
      <w:pPr>
        <w:pStyle w:val="BodyText"/>
      </w:pPr>
      <w:hyperlink r:id="rId64">
        <w:r>
          <w:rPr>
            <w:rStyle w:val="Hyperlink"/>
          </w:rPr>
          <w:t xml:space="preserve">[29]</w:t>
        </w:r>
      </w:hyperlink>
      <w:r>
        <w:t xml:space="preserve"> </w:t>
      </w:r>
      <w:r>
        <w:t xml:space="preserve">idc9/law-net: code to analyze the legal citation network - GitHub</w:t>
      </w:r>
    </w:p>
    <w:p>
      <w:pPr>
        <w:pStyle w:val="BodyText"/>
      </w:pPr>
      <w:hyperlink r:id="rId84">
        <w:r>
          <w:rPr>
            <w:rStyle w:val="Hyperlink"/>
          </w:rPr>
          <w:t xml:space="preserve">https://github.com/idc9/law-net</w:t>
        </w:r>
      </w:hyperlink>
    </w:p>
    <w:p>
      <w:pPr>
        <w:pStyle w:val="BodyText"/>
      </w:pPr>
      <w:hyperlink r:id="rId65">
        <w:r>
          <w:rPr>
            <w:rStyle w:val="Hyperlink"/>
          </w:rPr>
          <w:t xml:space="preserve">[30]</w:t>
        </w:r>
      </w:hyperlink>
      <w:r>
        <w:t xml:space="preserve"> </w:t>
      </w:r>
      <w:r>
        <w:t xml:space="preserve">LePaRD: A Large-Scale Dataset of Judicial Citations to Precedent</w:t>
      </w:r>
    </w:p>
    <w:p>
      <w:pPr>
        <w:pStyle w:val="BodyText"/>
      </w:pPr>
      <w:hyperlink r:id="rId85">
        <w:r>
          <w:rPr>
            <w:rStyle w:val="Hyperlink"/>
          </w:rPr>
          <w:t xml:space="preserve">https://arxiv.org/html/2311.09356v3</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rxiv.org/abs/2010.13902" TargetMode="External" /><Relationship Type="http://schemas.openxmlformats.org/officeDocument/2006/relationships/hyperlink" Id="rId26" Target="https://arxiv.org/abs/2010.13902#:~:text=,supervised%2C%20unsupervised" TargetMode="External" /><Relationship Type="http://schemas.openxmlformats.org/officeDocument/2006/relationships/hyperlink" Id="rId80" Target="https://arxiv.org/abs/2510.16899" TargetMode="External" /><Relationship Type="http://schemas.openxmlformats.org/officeDocument/2006/relationships/hyperlink" Id="rId44" Target="https://arxiv.org/abs/2510.16899#:~:text=challenge%2C%20we%20present%20a%20knowledge,pairs%20from%20clinical%20texts%2C%20we" TargetMode="External" /><Relationship Type="http://schemas.openxmlformats.org/officeDocument/2006/relationships/hyperlink" Id="rId45" Target="https://arxiv.org/abs/2510.16899#:~:text=extracting%20and%20standardizing%20entity,assisted%20clinical%20systems" TargetMode="External" /><Relationship Type="http://schemas.openxmlformats.org/officeDocument/2006/relationships/hyperlink" Id="rId85" Target="https://arxiv.org/html/2311.09356v3" TargetMode="External" /><Relationship Type="http://schemas.openxmlformats.org/officeDocument/2006/relationships/hyperlink" Id="rId65" Target="https://arxiv.org/html/2311.09356v3#:~:text=LePaRD%3A%20A%20Large,work%20on%20legal%20passage%20retrieval" TargetMode="External" /><Relationship Type="http://schemas.openxmlformats.org/officeDocument/2006/relationships/hyperlink" Id="rId79" Target="https://chanzuckerberg.com/blog/knowledge-graph-ai-education/" TargetMode="External" /><Relationship Type="http://schemas.openxmlformats.org/officeDocument/2006/relationships/hyperlink" Id="rId61" Target="https://chanzuckerberg.com/blog/knowledge-graph-ai-education/#:~:text=CZI%20is%20partnering%20with%20Playlab,states%20in%20partnership%20with%201EdTech" TargetMode="External" /><Relationship Type="http://schemas.openxmlformats.org/officeDocument/2006/relationships/hyperlink" Id="rId42" Target="https://chanzuckerberg.com/blog/knowledge-graph-ai-education/#:~:text=That%E2%80%99s%20where%20Knowledge%20Graph%20comes,accuracy%20of%20their%20AI%20outputs" TargetMode="External" /><Relationship Type="http://schemas.openxmlformats.org/officeDocument/2006/relationships/hyperlink" Id="rId41" Target="https://chanzuckerberg.com/blog/knowledge-graph-ai-education/#:~:text=While%20generative%20AI%20holds%20promise%2C,aren%E2%80%99t%20instructionally%20useful%20or%20accurate" TargetMode="External" /><Relationship Type="http://schemas.openxmlformats.org/officeDocument/2006/relationships/hyperlink" Id="rId70" Target="https://cs.stanford.edu/people/jure/pubs/graphsage-nips17.pdf" TargetMode="External" /><Relationship Type="http://schemas.openxmlformats.org/officeDocument/2006/relationships/hyperlink" Id="rId21" Target="https://cs.stanford.edu/people/jure/pubs/graphsage-nips17.pdf#:~:text=Pooling%20aggregator,%CF%83%20Wpoolh" TargetMode="External" /><Relationship Type="http://schemas.openxmlformats.org/officeDocument/2006/relationships/hyperlink" Id="rId23" Target="https://cs.stanford.edu/people/jure/pubs/graphsage-nips17.pdf#:~:text=also%20that%2C%20in%20principle%2C%20any,i%29%20classifying%20academic%20papers" TargetMode="External" /><Relationship Type="http://schemas.openxmlformats.org/officeDocument/2006/relationships/hyperlink" Id="rId22" Target="https://cs.stanford.edu/people/jure/pubs/graphsage-nips17.pdf#:~:text=ui%20%2B%20b%20%01%20%2C,network%20architectures%20to%20learn%20over" TargetMode="External" /><Relationship Type="http://schemas.openxmlformats.org/officeDocument/2006/relationships/hyperlink" Id="rId24" Target="https://cs.stanford.edu/people/jure/pubs/graphsage-nips17.pdf#:~:text=version%20of%20Kipf%20et%20al%E2%80%99s,see%20Section" TargetMode="External" /><Relationship Type="http://schemas.openxmlformats.org/officeDocument/2006/relationships/hyperlink" Id="rId84" Target="https://github.com/idc9/law-net" TargetMode="External" /><Relationship Type="http://schemas.openxmlformats.org/officeDocument/2006/relationships/hyperlink" Id="rId64" Target="https://github.com/idc9/law-net#:~:text=idc9%2Flaw,and%20the%20Supreme%20Court%20Database" TargetMode="External" /><Relationship Type="http://schemas.openxmlformats.org/officeDocument/2006/relationships/hyperlink" Id="rId78" Target="https://link.springer.com/article/10.1007/s40747-024-01527-8" TargetMode="External" /><Relationship Type="http://schemas.openxmlformats.org/officeDocument/2006/relationships/hyperlink" Id="rId39" Target="https://link.springer.com/article/10.1007/s40747-024-01527-8#:~:text=leveraging%20large%20language%20models%20for,achieve%20accurate%20and%20interpretable" TargetMode="External" /><Relationship Type="http://schemas.openxmlformats.org/officeDocument/2006/relationships/hyperlink" Id="rId77" Target="https://medium.com/@JamesStakelum/solving-the-hallucination-problem-how-smarter-methods-can-reduce-hallucinations-bfc2c4744a3e" TargetMode="External" /><Relationship Type="http://schemas.openxmlformats.org/officeDocument/2006/relationships/hyperlink" Id="rId57" Target="https://medium.com/@JamesStakelum/solving-the-hallucination-problem-how-smarter-methods-can-reduce-hallucinations-bfc2c4744a3e#:~:text=1,data%20can%20improve%20accuracy%20and" TargetMode="External" /><Relationship Type="http://schemas.openxmlformats.org/officeDocument/2006/relationships/hyperlink" Id="rId58" Target="https://medium.com/@JamesStakelum/solving-the-hallucination-problem-how-smarter-methods-can-reduce-hallucinations-bfc2c4744a3e#:~:text=Graph,based%20knowledge.%20However%2C%20direct%20benchmarks" TargetMode="External" /><Relationship Type="http://schemas.openxmlformats.org/officeDocument/2006/relationships/hyperlink" Id="rId38" Target="https://medium.com/@JamesStakelum/solving-the-hallucination-problem-how-smarter-methods-can-reduce-hallucinations-bfc2c4744a3e#:~:text=Solving%20the%20Hallucination%20Problem%20Once,hallucinations%20by%20providing%20it" TargetMode="External" /><Relationship Type="http://schemas.openxmlformats.org/officeDocument/2006/relationships/hyperlink" Id="rId56" Target="https://medium.com/@JamesStakelum/solving-the-hallucination-problem-how-smarter-methods-can-reduce-hallucinations-bfc2c4744a3e#:~:text=The%20LLM%20uses%20this%20graph,relationships%20intact%20while%20generating%20responses" TargetMode="External" /><Relationship Type="http://schemas.openxmlformats.org/officeDocument/2006/relationships/hyperlink" Id="rId81" Target="https://medium.com/neo4j/from-legal-documents-to-knowledge-graphs-ccd9cb062320" TargetMode="External" /><Relationship Type="http://schemas.openxmlformats.org/officeDocument/2006/relationships/hyperlink" Id="rId47" Target="https://medium.com/neo4j/from-legal-documents-to-knowledge-graphs-ccd9cb062320#:~:text=Retrieval,that%20spans%20across%20multiple%20documents" TargetMode="External" /><Relationship Type="http://schemas.openxmlformats.org/officeDocument/2006/relationships/hyperlink" Id="rId49" Target="https://medium.com/neo4j/from-legal-documents-to-knowledge-graphs-ccd9cb062320#:~:text=The%20legal%20domain%20represents%20one,valuable%20for%20improving%20retrieval%20accuracy" TargetMode="External" /><Relationship Type="http://schemas.openxmlformats.org/officeDocument/2006/relationships/hyperlink" Id="rId48" Target="https://medium.com/neo4j/from-legal-documents-to-knowledge-graphs-ccd9cb062320#:~:text=approaches%20are%20increasingly%20showing%20their,that%20spans%20across%20multiple%20documents" TargetMode="External" /><Relationship Type="http://schemas.openxmlformats.org/officeDocument/2006/relationships/hyperlink" Id="rId82" Target="https://ojs.aaai.org/index.php/AAAI/article/view/35488/37643" TargetMode="External" /><Relationship Type="http://schemas.openxmlformats.org/officeDocument/2006/relationships/hyperlink" Id="rId52" Target="https://ojs.aaai.org/index.php/AAAI/article/view/35488/37643#:~:text=,Moreover%2C%20for%20many" TargetMode="External" /><Relationship Type="http://schemas.openxmlformats.org/officeDocument/2006/relationships/hyperlink" Id="rId83" Target="https://openreview.net/forum?id=Kh950JEY88" TargetMode="External" /><Relationship Type="http://schemas.openxmlformats.org/officeDocument/2006/relationships/hyperlink" Id="rId63" Target="https://openreview.net/forum?id=Kh950JEY88#:~:text=construction%20to%20enhance%20the%20accuracy,projection%20mechanisms" TargetMode="External" /><Relationship Type="http://schemas.openxmlformats.org/officeDocument/2006/relationships/hyperlink" Id="rId62" Target="https://openreview.net/forum?id=Kh950JEY88#:~:text=patient,to%20process%20this%20graph" TargetMode="External" /><Relationship Type="http://schemas.openxmlformats.org/officeDocument/2006/relationships/hyperlink" Id="rId73" Target="https://pmc.ncbi.nlm.nih.gov/articles/PMC11997587/" TargetMode="External" /><Relationship Type="http://schemas.openxmlformats.org/officeDocument/2006/relationships/hyperlink" Id="rId28" Target="https://pmc.ncbi.nlm.nih.gov/articles/PMC11997587/#:~:text=Graph%20contrastive%20learning%20with%20node,and%20add%20or%20delete" TargetMode="External" /><Relationship Type="http://schemas.openxmlformats.org/officeDocument/2006/relationships/hyperlink" Id="rId76" Target="https://www.emergentmind.com/papers/2406.03852" TargetMode="External" /><Relationship Type="http://schemas.openxmlformats.org/officeDocument/2006/relationships/hyperlink" Id="rId35" Target="https://www.emergentmind.com/papers/2406.03852#:~:text=Abstract%3A%20The%20metric%20backbone%20of,preserves%20the%20community%20structure%20of" TargetMode="External" /><Relationship Type="http://schemas.openxmlformats.org/officeDocument/2006/relationships/hyperlink" Id="rId75" Target="https://www.mdpi.com/2076-3417/12/13/6713" TargetMode="External" /><Relationship Type="http://schemas.openxmlformats.org/officeDocument/2006/relationships/hyperlink" Id="rId31" Target="https://www.mdpi.com/2076-3417/12/13/6713#:~:text=,DBSCAN%2C%20the%20density%20is%20detected" TargetMode="External" /><Relationship Type="http://schemas.openxmlformats.org/officeDocument/2006/relationships/hyperlink" Id="rId74" Target="https://www.mdpi.com/2079-9292/13/13/2625" TargetMode="External" /><Relationship Type="http://schemas.openxmlformats.org/officeDocument/2006/relationships/hyperlink" Id="rId33" Target="https://www.mdpi.com/2079-9292/13/13/2625#:~:text=integrates%20labeled%20information%2C%20automatic%20feature,the%20data%20representation%20and%20then" TargetMode="External" /><Relationship Type="http://schemas.openxmlformats.org/officeDocument/2006/relationships/hyperlink" Id="rId32" Target="https://www.mdpi.com/2079-9292/13/13/2625#:~:text=multivariate%20normal%20distribution%20in%20latent,space" TargetMode="External" /><Relationship Type="http://schemas.openxmlformats.org/officeDocument/2006/relationships/hyperlink" Id="rId30" Target="https://www.mdpi.com/2079-9292/13/13/2625#:~:text=structural%20patterns,in%20anomaly%20detection%20compared%20to" TargetMode="External" /><Relationship Type="http://schemas.openxmlformats.org/officeDocument/2006/relationships/hyperlink" Id="rId72" Target="https://www4.comp.polyu.edu.hk/~xiaohuang/docs/2024TKDE_Xin.pdf" TargetMode="External" /><Relationship Type="http://schemas.openxmlformats.org/officeDocument/2006/relationships/hyperlink" Id="rId27" Target="https://www4.comp.polyu.edu.hk/~xiaohuang/docs/2024TKDE_Xin.pdf#:~:text=scenarios%20,Several%20studies%20have" TargetMode="External" /></Relationships>
</file>

<file path=word/_rels/footnotes.xml.rels><?xml version="1.0" encoding="UTF-8"?><Relationships xmlns="http://schemas.openxmlformats.org/package/2006/relationships"><Relationship Type="http://schemas.openxmlformats.org/officeDocument/2006/relationships/hyperlink" Id="rId71" Target="https://arxiv.org/abs/2010.13902" TargetMode="External" /><Relationship Type="http://schemas.openxmlformats.org/officeDocument/2006/relationships/hyperlink" Id="rId26" Target="https://arxiv.org/abs/2010.13902#:~:text=,supervised%2C%20unsupervised" TargetMode="External" /><Relationship Type="http://schemas.openxmlformats.org/officeDocument/2006/relationships/hyperlink" Id="rId80" Target="https://arxiv.org/abs/2510.16899" TargetMode="External" /><Relationship Type="http://schemas.openxmlformats.org/officeDocument/2006/relationships/hyperlink" Id="rId44" Target="https://arxiv.org/abs/2510.16899#:~:text=challenge%2C%20we%20present%20a%20knowledge,pairs%20from%20clinical%20texts%2C%20we" TargetMode="External" /><Relationship Type="http://schemas.openxmlformats.org/officeDocument/2006/relationships/hyperlink" Id="rId45" Target="https://arxiv.org/abs/2510.16899#:~:text=extracting%20and%20standardizing%20entity,assisted%20clinical%20systems" TargetMode="External" /><Relationship Type="http://schemas.openxmlformats.org/officeDocument/2006/relationships/hyperlink" Id="rId85" Target="https://arxiv.org/html/2311.09356v3" TargetMode="External" /><Relationship Type="http://schemas.openxmlformats.org/officeDocument/2006/relationships/hyperlink" Id="rId65" Target="https://arxiv.org/html/2311.09356v3#:~:text=LePaRD%3A%20A%20Large,work%20on%20legal%20passage%20retrieval" TargetMode="External" /><Relationship Type="http://schemas.openxmlformats.org/officeDocument/2006/relationships/hyperlink" Id="rId79" Target="https://chanzuckerberg.com/blog/knowledge-graph-ai-education/" TargetMode="External" /><Relationship Type="http://schemas.openxmlformats.org/officeDocument/2006/relationships/hyperlink" Id="rId61" Target="https://chanzuckerberg.com/blog/knowledge-graph-ai-education/#:~:text=CZI%20is%20partnering%20with%20Playlab,states%20in%20partnership%20with%201EdTech" TargetMode="External" /><Relationship Type="http://schemas.openxmlformats.org/officeDocument/2006/relationships/hyperlink" Id="rId42" Target="https://chanzuckerberg.com/blog/knowledge-graph-ai-education/#:~:text=That%E2%80%99s%20where%20Knowledge%20Graph%20comes,accuracy%20of%20their%20AI%20outputs" TargetMode="External" /><Relationship Type="http://schemas.openxmlformats.org/officeDocument/2006/relationships/hyperlink" Id="rId41" Target="https://chanzuckerberg.com/blog/knowledge-graph-ai-education/#:~:text=While%20generative%20AI%20holds%20promise%2C,aren%E2%80%99t%20instructionally%20useful%20or%20accurate" TargetMode="External" /><Relationship Type="http://schemas.openxmlformats.org/officeDocument/2006/relationships/hyperlink" Id="rId70" Target="https://cs.stanford.edu/people/jure/pubs/graphsage-nips17.pdf" TargetMode="External" /><Relationship Type="http://schemas.openxmlformats.org/officeDocument/2006/relationships/hyperlink" Id="rId21" Target="https://cs.stanford.edu/people/jure/pubs/graphsage-nips17.pdf#:~:text=Pooling%20aggregator,%CF%83%20Wpoolh" TargetMode="External" /><Relationship Type="http://schemas.openxmlformats.org/officeDocument/2006/relationships/hyperlink" Id="rId23" Target="https://cs.stanford.edu/people/jure/pubs/graphsage-nips17.pdf#:~:text=also%20that%2C%20in%20principle%2C%20any,i%29%20classifying%20academic%20papers" TargetMode="External" /><Relationship Type="http://schemas.openxmlformats.org/officeDocument/2006/relationships/hyperlink" Id="rId22" Target="https://cs.stanford.edu/people/jure/pubs/graphsage-nips17.pdf#:~:text=ui%20%2B%20b%20%01%20%2C,network%20architectures%20to%20learn%20over" TargetMode="External" /><Relationship Type="http://schemas.openxmlformats.org/officeDocument/2006/relationships/hyperlink" Id="rId24" Target="https://cs.stanford.edu/people/jure/pubs/graphsage-nips17.pdf#:~:text=version%20of%20Kipf%20et%20al%E2%80%99s,see%20Section" TargetMode="External" /><Relationship Type="http://schemas.openxmlformats.org/officeDocument/2006/relationships/hyperlink" Id="rId84" Target="https://github.com/idc9/law-net" TargetMode="External" /><Relationship Type="http://schemas.openxmlformats.org/officeDocument/2006/relationships/hyperlink" Id="rId64" Target="https://github.com/idc9/law-net#:~:text=idc9%2Flaw,and%20the%20Supreme%20Court%20Database" TargetMode="External" /><Relationship Type="http://schemas.openxmlformats.org/officeDocument/2006/relationships/hyperlink" Id="rId78" Target="https://link.springer.com/article/10.1007/s40747-024-01527-8" TargetMode="External" /><Relationship Type="http://schemas.openxmlformats.org/officeDocument/2006/relationships/hyperlink" Id="rId39" Target="https://link.springer.com/article/10.1007/s40747-024-01527-8#:~:text=leveraging%20large%20language%20models%20for,achieve%20accurate%20and%20interpretable" TargetMode="External" /><Relationship Type="http://schemas.openxmlformats.org/officeDocument/2006/relationships/hyperlink" Id="rId77" Target="https://medium.com/@JamesStakelum/solving-the-hallucination-problem-how-smarter-methods-can-reduce-hallucinations-bfc2c4744a3e" TargetMode="External" /><Relationship Type="http://schemas.openxmlformats.org/officeDocument/2006/relationships/hyperlink" Id="rId57" Target="https://medium.com/@JamesStakelum/solving-the-hallucination-problem-how-smarter-methods-can-reduce-hallucinations-bfc2c4744a3e#:~:text=1,data%20can%20improve%20accuracy%20and" TargetMode="External" /><Relationship Type="http://schemas.openxmlformats.org/officeDocument/2006/relationships/hyperlink" Id="rId58" Target="https://medium.com/@JamesStakelum/solving-the-hallucination-problem-how-smarter-methods-can-reduce-hallucinations-bfc2c4744a3e#:~:text=Graph,based%20knowledge.%20However%2C%20direct%20benchmarks" TargetMode="External" /><Relationship Type="http://schemas.openxmlformats.org/officeDocument/2006/relationships/hyperlink" Id="rId38" Target="https://medium.com/@JamesStakelum/solving-the-hallucination-problem-how-smarter-methods-can-reduce-hallucinations-bfc2c4744a3e#:~:text=Solving%20the%20Hallucination%20Problem%20Once,hallucinations%20by%20providing%20it" TargetMode="External" /><Relationship Type="http://schemas.openxmlformats.org/officeDocument/2006/relationships/hyperlink" Id="rId56" Target="https://medium.com/@JamesStakelum/solving-the-hallucination-problem-how-smarter-methods-can-reduce-hallucinations-bfc2c4744a3e#:~:text=The%20LLM%20uses%20this%20graph,relationships%20intact%20while%20generating%20responses" TargetMode="External" /><Relationship Type="http://schemas.openxmlformats.org/officeDocument/2006/relationships/hyperlink" Id="rId81" Target="https://medium.com/neo4j/from-legal-documents-to-knowledge-graphs-ccd9cb062320" TargetMode="External" /><Relationship Type="http://schemas.openxmlformats.org/officeDocument/2006/relationships/hyperlink" Id="rId47" Target="https://medium.com/neo4j/from-legal-documents-to-knowledge-graphs-ccd9cb062320#:~:text=Retrieval,that%20spans%20across%20multiple%20documents" TargetMode="External" /><Relationship Type="http://schemas.openxmlformats.org/officeDocument/2006/relationships/hyperlink" Id="rId49" Target="https://medium.com/neo4j/from-legal-documents-to-knowledge-graphs-ccd9cb062320#:~:text=The%20legal%20domain%20represents%20one,valuable%20for%20improving%20retrieval%20accuracy" TargetMode="External" /><Relationship Type="http://schemas.openxmlformats.org/officeDocument/2006/relationships/hyperlink" Id="rId48" Target="https://medium.com/neo4j/from-legal-documents-to-knowledge-graphs-ccd9cb062320#:~:text=approaches%20are%20increasingly%20showing%20their,that%20spans%20across%20multiple%20documents" TargetMode="External" /><Relationship Type="http://schemas.openxmlformats.org/officeDocument/2006/relationships/hyperlink" Id="rId82" Target="https://ojs.aaai.org/index.php/AAAI/article/view/35488/37643" TargetMode="External" /><Relationship Type="http://schemas.openxmlformats.org/officeDocument/2006/relationships/hyperlink" Id="rId52" Target="https://ojs.aaai.org/index.php/AAAI/article/view/35488/37643#:~:text=,Moreover%2C%20for%20many" TargetMode="External" /><Relationship Type="http://schemas.openxmlformats.org/officeDocument/2006/relationships/hyperlink" Id="rId83" Target="https://openreview.net/forum?id=Kh950JEY88" TargetMode="External" /><Relationship Type="http://schemas.openxmlformats.org/officeDocument/2006/relationships/hyperlink" Id="rId63" Target="https://openreview.net/forum?id=Kh950JEY88#:~:text=construction%20to%20enhance%20the%20accuracy,projection%20mechanisms" TargetMode="External" /><Relationship Type="http://schemas.openxmlformats.org/officeDocument/2006/relationships/hyperlink" Id="rId62" Target="https://openreview.net/forum?id=Kh950JEY88#:~:text=patient,to%20process%20this%20graph" TargetMode="External" /><Relationship Type="http://schemas.openxmlformats.org/officeDocument/2006/relationships/hyperlink" Id="rId73" Target="https://pmc.ncbi.nlm.nih.gov/articles/PMC11997587/" TargetMode="External" /><Relationship Type="http://schemas.openxmlformats.org/officeDocument/2006/relationships/hyperlink" Id="rId28" Target="https://pmc.ncbi.nlm.nih.gov/articles/PMC11997587/#:~:text=Graph%20contrastive%20learning%20with%20node,and%20add%20or%20delete" TargetMode="External" /><Relationship Type="http://schemas.openxmlformats.org/officeDocument/2006/relationships/hyperlink" Id="rId76" Target="https://www.emergentmind.com/papers/2406.03852" TargetMode="External" /><Relationship Type="http://schemas.openxmlformats.org/officeDocument/2006/relationships/hyperlink" Id="rId35" Target="https://www.emergentmind.com/papers/2406.03852#:~:text=Abstract%3A%20The%20metric%20backbone%20of,preserves%20the%20community%20structure%20of" TargetMode="External" /><Relationship Type="http://schemas.openxmlformats.org/officeDocument/2006/relationships/hyperlink" Id="rId75" Target="https://www.mdpi.com/2076-3417/12/13/6713" TargetMode="External" /><Relationship Type="http://schemas.openxmlformats.org/officeDocument/2006/relationships/hyperlink" Id="rId31" Target="https://www.mdpi.com/2076-3417/12/13/6713#:~:text=,DBSCAN%2C%20the%20density%20is%20detected" TargetMode="External" /><Relationship Type="http://schemas.openxmlformats.org/officeDocument/2006/relationships/hyperlink" Id="rId74" Target="https://www.mdpi.com/2079-9292/13/13/2625" TargetMode="External" /><Relationship Type="http://schemas.openxmlformats.org/officeDocument/2006/relationships/hyperlink" Id="rId33" Target="https://www.mdpi.com/2079-9292/13/13/2625#:~:text=integrates%20labeled%20information%2C%20automatic%20feature,the%20data%20representation%20and%20then" TargetMode="External" /><Relationship Type="http://schemas.openxmlformats.org/officeDocument/2006/relationships/hyperlink" Id="rId32" Target="https://www.mdpi.com/2079-9292/13/13/2625#:~:text=multivariate%20normal%20distribution%20in%20latent,space" TargetMode="External" /><Relationship Type="http://schemas.openxmlformats.org/officeDocument/2006/relationships/hyperlink" Id="rId30" Target="https://www.mdpi.com/2079-9292/13/13/2625#:~:text=structural%20patterns,in%20anomaly%20detection%20compared%20to" TargetMode="External" /><Relationship Type="http://schemas.openxmlformats.org/officeDocument/2006/relationships/hyperlink" Id="rId72" Target="https://www4.comp.polyu.edu.hk/~xiaohuang/docs/2024TKDE_Xin.pdf" TargetMode="External" /><Relationship Type="http://schemas.openxmlformats.org/officeDocument/2006/relationships/hyperlink" Id="rId27" Target="https://www4.comp.polyu.edu.hk/~xiaohuang/docs/2024TKDE_Xin.pdf#:~:text=scenarios%20,Several%20studies%20ha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2025-11-30T20:42:03Z</dcterms:created>
  <dcterms:modified xsi:type="dcterms:W3CDTF">2025-11-30T20:42:03Z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