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8E55" w14:textId="60A14436" w:rsidR="00954B3F" w:rsidRPr="004A644E" w:rsidRDefault="00954B3F">
      <w:pPr>
        <w:rPr>
          <w:rFonts w:ascii="Arial" w:hAnsi="Arial" w:cs="Arial"/>
          <w:b/>
          <w:bCs/>
          <w:u w:val="single"/>
          <w:lang w:val="en-US"/>
        </w:rPr>
      </w:pPr>
      <w:r w:rsidRPr="004A644E">
        <w:rPr>
          <w:rFonts w:ascii="Arial" w:hAnsi="Arial" w:cs="Arial"/>
          <w:b/>
          <w:bCs/>
          <w:u w:val="single"/>
          <w:lang w:val="en-US"/>
        </w:rPr>
        <w:t xml:space="preserve">Comparison with </w:t>
      </w:r>
      <w:proofErr w:type="spellStart"/>
      <w:r w:rsidRPr="004A644E">
        <w:rPr>
          <w:rFonts w:ascii="Arial" w:hAnsi="Arial" w:cs="Arial"/>
          <w:b/>
          <w:bCs/>
          <w:u w:val="single"/>
          <w:lang w:val="en-US"/>
        </w:rPr>
        <w:t>unwin</w:t>
      </w:r>
      <w:proofErr w:type="spellEnd"/>
      <w:r w:rsidRPr="004A644E">
        <w:rPr>
          <w:rFonts w:ascii="Arial" w:hAnsi="Arial" w:cs="Arial"/>
          <w:b/>
          <w:bCs/>
          <w:u w:val="single"/>
          <w:lang w:val="en-US"/>
        </w:rPr>
        <w:t xml:space="preserve"> et al</w:t>
      </w:r>
    </w:p>
    <w:p w14:paraId="62B50EB0" w14:textId="3BA399F7" w:rsidR="006C102E" w:rsidRPr="004A644E" w:rsidRDefault="006C102E" w:rsidP="006C102E">
      <w:pPr>
        <w:pStyle w:val="ListParagraph"/>
        <w:numPr>
          <w:ilvl w:val="0"/>
          <w:numId w:val="1"/>
        </w:numPr>
        <w:rPr>
          <w:rFonts w:ascii="Arial" w:hAnsi="Arial" w:cs="Arial"/>
        </w:rPr>
      </w:pPr>
      <w:r w:rsidRPr="004A644E">
        <w:rPr>
          <w:rFonts w:ascii="Arial" w:hAnsi="Arial" w:cs="Arial"/>
          <w:lang w:val="en-US"/>
        </w:rPr>
        <w:t>“</w:t>
      </w:r>
      <w:r w:rsidRPr="004A644E">
        <w:rPr>
          <w:rFonts w:ascii="Arial" w:hAnsi="Arial" w:cs="Arial"/>
          <w:b/>
          <w:bCs/>
        </w:rPr>
        <w:t>Absolute</w:t>
      </w:r>
      <w:r w:rsidRPr="004A644E">
        <w:rPr>
          <w:rFonts w:ascii="Arial" w:hAnsi="Arial" w:cs="Arial"/>
          <w:b/>
          <w:bCs/>
        </w:rPr>
        <w:t xml:space="preserve"> </w:t>
      </w:r>
      <w:r w:rsidRPr="004A644E">
        <w:rPr>
          <w:rFonts w:ascii="Arial" w:hAnsi="Arial" w:cs="Arial"/>
          <w:b/>
          <w:bCs/>
        </w:rPr>
        <w:t>estimates</w:t>
      </w:r>
      <w:r w:rsidRPr="004A644E">
        <w:rPr>
          <w:rFonts w:ascii="Arial" w:hAnsi="Arial" w:cs="Arial"/>
          <w:b/>
          <w:bCs/>
        </w:rPr>
        <w:t xml:space="preserve"> of protection</w:t>
      </w:r>
      <w:r w:rsidRPr="004A644E">
        <w:rPr>
          <w:rFonts w:ascii="Arial" w:hAnsi="Arial" w:cs="Arial"/>
        </w:rPr>
        <w:t xml:space="preserve"> and the relative difference between net types and users/nonusers</w:t>
      </w:r>
      <w:r w:rsidRPr="004A644E">
        <w:rPr>
          <w:rFonts w:ascii="Arial" w:hAnsi="Arial" w:cs="Arial"/>
          <w:b/>
          <w:bCs/>
          <w:highlight w:val="yellow"/>
        </w:rPr>
        <w:t xml:space="preserve"> </w:t>
      </w:r>
      <w:r w:rsidRPr="004A644E">
        <w:rPr>
          <w:rFonts w:ascii="Arial" w:hAnsi="Arial" w:cs="Arial"/>
          <w:b/>
          <w:bCs/>
          <w:highlight w:val="yellow"/>
        </w:rPr>
        <w:t>will vary</w:t>
      </w:r>
      <w:r w:rsidRPr="004A644E">
        <w:rPr>
          <w:rFonts w:ascii="Arial" w:hAnsi="Arial" w:cs="Arial"/>
          <w:b/>
          <w:bCs/>
          <w:highlight w:val="yellow"/>
        </w:rPr>
        <w:t xml:space="preserve"> </w:t>
      </w:r>
      <w:r w:rsidRPr="004A644E">
        <w:rPr>
          <w:rFonts w:ascii="Arial" w:hAnsi="Arial" w:cs="Arial"/>
          <w:b/>
          <w:bCs/>
          <w:highlight w:val="yellow"/>
        </w:rPr>
        <w:t>with endemicity</w:t>
      </w:r>
      <w:r w:rsidRPr="004A644E">
        <w:rPr>
          <w:rFonts w:ascii="Arial" w:hAnsi="Arial" w:cs="Arial"/>
        </w:rPr>
        <w:t xml:space="preserve"> (baseline EIR) though similar trends are</w:t>
      </w:r>
      <w:r w:rsidRPr="004A644E">
        <w:rPr>
          <w:rFonts w:ascii="Arial" w:hAnsi="Arial" w:cs="Arial"/>
        </w:rPr>
        <w:t xml:space="preserve"> </w:t>
      </w:r>
      <w:r w:rsidRPr="004A644E">
        <w:rPr>
          <w:rFonts w:ascii="Arial" w:hAnsi="Arial" w:cs="Arial"/>
        </w:rPr>
        <w:t>observed</w:t>
      </w:r>
      <w:r w:rsidRPr="004A644E">
        <w:rPr>
          <w:rFonts w:ascii="Arial" w:hAnsi="Arial" w:cs="Arial"/>
          <w:lang w:val="en-US"/>
        </w:rPr>
        <w:t>”</w:t>
      </w:r>
    </w:p>
    <w:p w14:paraId="4611D7EB" w14:textId="78F6C834" w:rsidR="00954B3F" w:rsidRPr="004A644E" w:rsidRDefault="00954B3F" w:rsidP="00954B3F">
      <w:pPr>
        <w:pStyle w:val="ListParagraph"/>
        <w:numPr>
          <w:ilvl w:val="0"/>
          <w:numId w:val="1"/>
        </w:numPr>
        <w:rPr>
          <w:rFonts w:ascii="Arial" w:hAnsi="Arial" w:cs="Arial"/>
          <w:lang w:val="en-US"/>
        </w:rPr>
      </w:pPr>
      <w:r w:rsidRPr="004A644E">
        <w:rPr>
          <w:rFonts w:ascii="Arial" w:hAnsi="Arial" w:cs="Arial"/>
          <w:lang w:val="en-US"/>
        </w:rPr>
        <w:t xml:space="preserve">Quantitative values of </w:t>
      </w:r>
      <w:proofErr w:type="spellStart"/>
      <w:r w:rsidRPr="004A644E">
        <w:rPr>
          <w:rFonts w:ascii="Arial" w:hAnsi="Arial" w:cs="Arial"/>
          <w:lang w:val="en-US"/>
        </w:rPr>
        <w:t>prev</w:t>
      </w:r>
      <w:proofErr w:type="spellEnd"/>
      <w:r w:rsidRPr="004A644E">
        <w:rPr>
          <w:rFonts w:ascii="Arial" w:hAnsi="Arial" w:cs="Arial"/>
          <w:lang w:val="en-US"/>
        </w:rPr>
        <w:t xml:space="preserve"> reduction at </w:t>
      </w:r>
      <w:r w:rsidRPr="004A644E">
        <w:rPr>
          <w:rFonts w:ascii="Arial" w:hAnsi="Arial" w:cs="Arial"/>
          <w:b/>
          <w:bCs/>
          <w:lang w:val="en-US"/>
        </w:rPr>
        <w:t>80% usage for EIR of 100</w:t>
      </w:r>
      <w:r w:rsidRPr="004A644E">
        <w:rPr>
          <w:rFonts w:ascii="Arial" w:hAnsi="Arial" w:cs="Arial"/>
          <w:lang w:val="en-US"/>
        </w:rPr>
        <w:t xml:space="preserve"> (high </w:t>
      </w:r>
      <w:proofErr w:type="spellStart"/>
      <w:r w:rsidRPr="004A644E">
        <w:rPr>
          <w:rFonts w:ascii="Arial" w:hAnsi="Arial" w:cs="Arial"/>
          <w:lang w:val="en-US"/>
        </w:rPr>
        <w:t>pfpr</w:t>
      </w:r>
      <w:proofErr w:type="spellEnd"/>
      <w:r w:rsidRPr="004A644E">
        <w:rPr>
          <w:rFonts w:ascii="Arial" w:hAnsi="Arial" w:cs="Arial"/>
          <w:lang w:val="en-US"/>
        </w:rPr>
        <w:t xml:space="preserve">) in supplementary fig </w:t>
      </w:r>
      <w:r w:rsidR="006C102E" w:rsidRPr="004A644E">
        <w:rPr>
          <w:rFonts w:ascii="Arial" w:hAnsi="Arial" w:cs="Arial"/>
          <w:lang w:val="en-US"/>
        </w:rPr>
        <w:t>9</w:t>
      </w:r>
      <w:r w:rsidR="004B15CF">
        <w:rPr>
          <w:rFonts w:ascii="Arial" w:hAnsi="Arial" w:cs="Arial"/>
          <w:lang w:val="en-US"/>
        </w:rPr>
        <w:t xml:space="preserve"> – slightly higher than what I have currently – compare with final simulation results</w:t>
      </w:r>
    </w:p>
    <w:p w14:paraId="1EFAF939" w14:textId="1E72A401" w:rsidR="00954B3F" w:rsidRPr="004A644E" w:rsidRDefault="00954B3F" w:rsidP="00954B3F">
      <w:pPr>
        <w:pStyle w:val="ListParagraph"/>
        <w:numPr>
          <w:ilvl w:val="0"/>
          <w:numId w:val="1"/>
        </w:numPr>
        <w:rPr>
          <w:rFonts w:ascii="Arial" w:hAnsi="Arial" w:cs="Arial"/>
          <w:lang w:val="en-US"/>
        </w:rPr>
      </w:pPr>
      <w:proofErr w:type="gramStart"/>
      <w:r w:rsidRPr="004A644E">
        <w:rPr>
          <w:rFonts w:ascii="Arial" w:hAnsi="Arial" w:cs="Arial"/>
          <w:lang w:val="en-US"/>
        </w:rPr>
        <w:t>indirect</w:t>
      </w:r>
      <w:proofErr w:type="gramEnd"/>
      <w:r w:rsidRPr="004A644E">
        <w:rPr>
          <w:rFonts w:ascii="Arial" w:hAnsi="Arial" w:cs="Arial"/>
          <w:lang w:val="en-US"/>
        </w:rPr>
        <w:t xml:space="preserve"> protection is modest and grows slowly in high EIR settings as coverage increases (only 10% additional protection among non-users increasing from 1 person to 80% usage</w:t>
      </w:r>
      <w:r w:rsidR="004B15CF">
        <w:rPr>
          <w:rFonts w:ascii="Arial" w:hAnsi="Arial" w:cs="Arial"/>
          <w:lang w:val="en-US"/>
        </w:rPr>
        <w:t xml:space="preserve"> in high EIR</w:t>
      </w:r>
      <w:r w:rsidRPr="004A644E">
        <w:rPr>
          <w:rFonts w:ascii="Arial" w:hAnsi="Arial" w:cs="Arial"/>
          <w:lang w:val="en-US"/>
        </w:rPr>
        <w:t>)</w:t>
      </w:r>
    </w:p>
    <w:p w14:paraId="3760AA88" w14:textId="1D9DA1C3" w:rsidR="00954B3F" w:rsidRPr="004A644E" w:rsidRDefault="00954B3F" w:rsidP="00954B3F">
      <w:pPr>
        <w:pStyle w:val="ListParagraph"/>
        <w:numPr>
          <w:ilvl w:val="0"/>
          <w:numId w:val="1"/>
        </w:numPr>
        <w:rPr>
          <w:rFonts w:ascii="Arial" w:hAnsi="Arial" w:cs="Arial"/>
          <w:lang w:val="en-US"/>
        </w:rPr>
      </w:pPr>
      <w:r w:rsidRPr="004A644E">
        <w:rPr>
          <w:rFonts w:ascii="Arial" w:hAnsi="Arial" w:cs="Arial"/>
          <w:lang w:val="en-US"/>
        </w:rPr>
        <w:t xml:space="preserve">High LLIN effects are observed in low </w:t>
      </w:r>
      <w:r w:rsidR="006C102E" w:rsidRPr="004A644E">
        <w:rPr>
          <w:rFonts w:ascii="Arial" w:hAnsi="Arial" w:cs="Arial"/>
          <w:lang w:val="en-US"/>
        </w:rPr>
        <w:t>EIR (10: IP = ~90)</w:t>
      </w:r>
      <w:r w:rsidRPr="004A644E">
        <w:rPr>
          <w:rFonts w:ascii="Arial" w:hAnsi="Arial" w:cs="Arial"/>
          <w:lang w:val="en-US"/>
        </w:rPr>
        <w:t xml:space="preserve"> settings compared to high EIR</w:t>
      </w:r>
      <w:r w:rsidR="006C102E" w:rsidRPr="004A644E">
        <w:rPr>
          <w:rFonts w:ascii="Arial" w:hAnsi="Arial" w:cs="Arial"/>
          <w:lang w:val="en-US"/>
        </w:rPr>
        <w:t xml:space="preserve"> </w:t>
      </w:r>
      <w:r w:rsidR="006C102E" w:rsidRPr="004A644E">
        <w:rPr>
          <w:rFonts w:ascii="Arial" w:hAnsi="Arial" w:cs="Arial"/>
          <w:lang w:val="en-US"/>
        </w:rPr>
        <w:t>(10</w:t>
      </w:r>
      <w:r w:rsidR="006C102E" w:rsidRPr="004A644E">
        <w:rPr>
          <w:rFonts w:ascii="Arial" w:hAnsi="Arial" w:cs="Arial"/>
          <w:lang w:val="en-US"/>
        </w:rPr>
        <w:t>0</w:t>
      </w:r>
      <w:r w:rsidR="006C102E" w:rsidRPr="004A644E">
        <w:rPr>
          <w:rFonts w:ascii="Arial" w:hAnsi="Arial" w:cs="Arial"/>
          <w:lang w:val="en-US"/>
        </w:rPr>
        <w:t>: IP = ~</w:t>
      </w:r>
      <w:r w:rsidR="006C102E" w:rsidRPr="004A644E">
        <w:rPr>
          <w:rFonts w:ascii="Arial" w:hAnsi="Arial" w:cs="Arial"/>
          <w:lang w:val="en-US"/>
        </w:rPr>
        <w:t>74</w:t>
      </w:r>
      <w:r w:rsidR="004B15CF" w:rsidRPr="004A644E">
        <w:rPr>
          <w:rFonts w:ascii="Arial" w:hAnsi="Arial" w:cs="Arial"/>
          <w:lang w:val="en-US"/>
        </w:rPr>
        <w:t>) settings</w:t>
      </w:r>
    </w:p>
    <w:p w14:paraId="21C2F7CC" w14:textId="77777777" w:rsidR="00954B3F" w:rsidRPr="004A644E" w:rsidRDefault="00954B3F">
      <w:pPr>
        <w:rPr>
          <w:rFonts w:ascii="Arial" w:hAnsi="Arial" w:cs="Arial"/>
          <w:lang w:val="en-US"/>
        </w:rPr>
      </w:pPr>
    </w:p>
    <w:p w14:paraId="3BE4D8A7" w14:textId="59A81F3B" w:rsidR="00D46493" w:rsidRPr="004A644E" w:rsidRDefault="004460D3">
      <w:pPr>
        <w:rPr>
          <w:rFonts w:ascii="Arial" w:hAnsi="Arial" w:cs="Arial"/>
          <w:lang w:val="en-US"/>
        </w:rPr>
      </w:pPr>
      <w:r w:rsidRPr="004A644E">
        <w:rPr>
          <w:rFonts w:ascii="Arial" w:hAnsi="Arial" w:cs="Arial"/>
          <w:lang w:val="en-US"/>
        </w:rPr>
        <w:t>Discussion</w:t>
      </w:r>
    </w:p>
    <w:p w14:paraId="4F2C31B0" w14:textId="77777777" w:rsidR="004460D3" w:rsidRPr="004A644E" w:rsidRDefault="004460D3" w:rsidP="004460D3">
      <w:pPr>
        <w:rPr>
          <w:rFonts w:ascii="Arial" w:hAnsi="Arial" w:cs="Arial"/>
        </w:rPr>
      </w:pPr>
      <w:r w:rsidRPr="004A644E">
        <w:rPr>
          <w:rFonts w:ascii="Arial" w:hAnsi="Arial" w:cs="Arial"/>
        </w:rPr>
        <w:t>In this study, we used a transmission-dynamic malaria model to quantify how community-level protection from long-lasting insecticidal nets (LLINs) varies across transmission intensities and coverage levels. By explicitly decomposing malaria prevalence among LLIN users, non-users, and the overall population, and by estimating coverage thresholds required to achieve predefined reductions among non-users, we provide a systematic characterization of how indirect effects emerge, scale, and ultimately saturate across epidemiological contexts. These results help clarify both the potential and the intrinsic limits of LLIN-mediated community protection.</w:t>
      </w:r>
    </w:p>
    <w:p w14:paraId="2388AE90" w14:textId="207A5E8A" w:rsidR="00D42676" w:rsidRPr="004A644E" w:rsidRDefault="00D42676" w:rsidP="004460D3">
      <w:pPr>
        <w:rPr>
          <w:rFonts w:ascii="Arial" w:hAnsi="Arial" w:cs="Arial"/>
        </w:rPr>
      </w:pPr>
      <w:r w:rsidRPr="004A644E">
        <w:rPr>
          <w:rFonts w:ascii="Arial" w:hAnsi="Arial" w:cs="Arial"/>
        </w:rPr>
        <w:t>An important feature of this analysis is that transmission intensity was varied independently of other contextual factors. While the model reflects Ghana-specific demographic, seasonal, and health system characteristics, EIR was treated as an independent dimension rather than being fixed to location-calibrated values. As a result, our findings should be interpreted as conditional on transmission intensity rather than as predictions for specific geographic settings. This approach highlights EIR as a fundamental constraint on the magnitude and saturation of LLIN-mediated community protection, independent of other contextual features.</w:t>
      </w:r>
    </w:p>
    <w:p w14:paraId="6D7B0C52" w14:textId="77777777" w:rsidR="004460D3" w:rsidRPr="004A644E" w:rsidRDefault="004460D3" w:rsidP="004460D3">
      <w:pPr>
        <w:rPr>
          <w:rFonts w:ascii="Arial" w:hAnsi="Arial" w:cs="Arial"/>
        </w:rPr>
      </w:pPr>
      <w:r w:rsidRPr="004A644E">
        <w:rPr>
          <w:rFonts w:ascii="Arial" w:hAnsi="Arial" w:cs="Arial"/>
        </w:rPr>
        <w:t xml:space="preserve">Our findings reinforce existing evidence that indirect protection contributes substantially to the population-level impact of LLINs, particularly once coverage exceeds low-to-moderate levels. Across all transmission settings examined, increasing LLIN usage was associated with declining malaria prevalence among non-users, indicating that reductions in transmission extend beyond individuals directly protected by nets. In moderate transmission settings, reductions among non-users closely tracked reductions in the overall population, consistent with previous modelling and empirical studies showing that community effects can account for a large share of total impact at higher coverage levels. This pattern supports the </w:t>
      </w:r>
      <w:r w:rsidRPr="004A644E">
        <w:rPr>
          <w:rFonts w:ascii="Arial" w:hAnsi="Arial" w:cs="Arial"/>
        </w:rPr>
        <w:lastRenderedPageBreak/>
        <w:t>conceptual basis for universal LLIN coverage strategies, which aim to maximise both direct and indirect benefits.</w:t>
      </w:r>
    </w:p>
    <w:p w14:paraId="24948866" w14:textId="77777777" w:rsidR="004460D3" w:rsidRPr="004A644E" w:rsidRDefault="004460D3" w:rsidP="004460D3">
      <w:pPr>
        <w:rPr>
          <w:rFonts w:ascii="Arial" w:hAnsi="Arial" w:cs="Arial"/>
        </w:rPr>
      </w:pPr>
      <w:r w:rsidRPr="004A644E">
        <w:rPr>
          <w:rFonts w:ascii="Arial" w:hAnsi="Arial" w:cs="Arial"/>
        </w:rPr>
        <w:t>At the same time, our results demonstrate that the magnitude and reliability of community protection are strongly constrained by baseline transmission intensity. As EIR increased, progressively higher LLIN usage was required to achieve comparable reductions in prevalence among non-users. In the highest transmission settings, indirect effects saturated at relatively modest levels, such that further increases in usage yielded diminishing returns in non-user prevalence reduction. This saturation implies that even near-universal LLIN usage may be insufficient to deliver large community-level gains in high-transmission environments, where persistent exposure to infectious bites limits the extent to which reductions in mosquito survival translate into lower human infection prevalence.</w:t>
      </w:r>
    </w:p>
    <w:p w14:paraId="71416607" w14:textId="297F1310" w:rsidR="004460D3" w:rsidRPr="004A644E" w:rsidRDefault="004460D3" w:rsidP="004460D3">
      <w:pPr>
        <w:rPr>
          <w:rFonts w:ascii="Arial" w:hAnsi="Arial" w:cs="Arial"/>
        </w:rPr>
      </w:pPr>
      <w:r w:rsidRPr="004A644E">
        <w:rPr>
          <w:rFonts w:ascii="Arial" w:hAnsi="Arial" w:cs="Arial"/>
        </w:rPr>
        <w:t xml:space="preserve">This conditional nature of community protection helps reconcile differing findings in the literature. Previous modelling studies have shown that indirect effects can exceed the contribution of direct personal protection as coverage increases, but these conclusions are often drawn from aggregate population outcomes or settings with moderate transmission intensity. Our results suggest that such dominance of indirect effects is not </w:t>
      </w:r>
      <w:r w:rsidR="004A644E" w:rsidRPr="004A644E">
        <w:rPr>
          <w:rFonts w:ascii="Arial" w:hAnsi="Arial" w:cs="Arial"/>
        </w:rPr>
        <w:t>universal but</w:t>
      </w:r>
      <w:r w:rsidRPr="004A644E">
        <w:rPr>
          <w:rFonts w:ascii="Arial" w:hAnsi="Arial" w:cs="Arial"/>
        </w:rPr>
        <w:t xml:space="preserve"> instead depends critically on baseline EIR. By explicitly stratifying analyses across a wide EIR range, our study extends prior work by identifying transmission contexts in which community protection is substantial, as well as those in which it is intrinsically limited.</w:t>
      </w:r>
    </w:p>
    <w:p w14:paraId="74F4047D" w14:textId="77777777" w:rsidR="004460D3" w:rsidRPr="004A644E" w:rsidRDefault="004460D3" w:rsidP="004460D3">
      <w:pPr>
        <w:rPr>
          <w:rFonts w:ascii="Arial" w:hAnsi="Arial" w:cs="Arial"/>
        </w:rPr>
      </w:pPr>
      <w:r w:rsidRPr="004A644E">
        <w:rPr>
          <w:rFonts w:ascii="Arial" w:hAnsi="Arial" w:cs="Arial"/>
        </w:rPr>
        <w:t>A key contribution of this analysis is the explicit estimation of LLIN usage thresholds required to achieve meaningful reductions in prevalence among non-users. While community protection is frequently invoked as a justification for universal coverage, few studies quantify the levels of usage needed to deliver specific indirect benefits. Our threshold analysis shows that coverage requirements increase steeply with transmission intensity, and in high-EIR settings may approach or exceed levels that are operationally difficult to achieve and sustain. These findings highlight the importance of realistic expectations regarding the indirect benefits of LLINs and underscore the need to interpret community protection as a context-dependent phenomenon rather than a guaranteed outcome of high coverage.</w:t>
      </w:r>
    </w:p>
    <w:p w14:paraId="505D299E" w14:textId="77777777" w:rsidR="004460D3" w:rsidRPr="004A644E" w:rsidRDefault="004460D3" w:rsidP="004460D3">
      <w:pPr>
        <w:rPr>
          <w:rFonts w:ascii="Arial" w:hAnsi="Arial" w:cs="Arial"/>
        </w:rPr>
      </w:pPr>
      <w:r w:rsidRPr="004A644E">
        <w:rPr>
          <w:rFonts w:ascii="Arial" w:hAnsi="Arial" w:cs="Arial"/>
        </w:rPr>
        <w:t xml:space="preserve">The implications of these results are particularly relevant in the context of evolving vector control effectiveness. Widespread pyrethroid resistance and declining net durability under field conditions have reduced the historical mosquito-killing effects of LLINs in many settings, potentially weakening the mechanisms that underpin community protection. Although our analysis does not explicitly model resistance dynamics or net ageing, the observed saturation of indirect effects at high transmission suggests that reliance on LLINs alone may be insufficient to achieve large population-level gains in such settings. In these contexts, complementary interventions that directly reduce transmission, such as indoor residual spraying, </w:t>
      </w:r>
      <w:r w:rsidRPr="004A644E">
        <w:rPr>
          <w:rFonts w:ascii="Arial" w:hAnsi="Arial" w:cs="Arial"/>
        </w:rPr>
        <w:lastRenderedPageBreak/>
        <w:t>larval source management, or next-generation vector control tools, may be required to augment the limited community effects achievable through LLINs.</w:t>
      </w:r>
    </w:p>
    <w:p w14:paraId="21127621" w14:textId="40D1C026" w:rsidR="004460D3" w:rsidRPr="004A644E" w:rsidRDefault="004460D3" w:rsidP="004460D3">
      <w:pPr>
        <w:rPr>
          <w:rFonts w:ascii="Arial" w:hAnsi="Arial" w:cs="Arial"/>
        </w:rPr>
      </w:pPr>
      <w:r w:rsidRPr="004A644E">
        <w:rPr>
          <w:rFonts w:ascii="Arial" w:hAnsi="Arial" w:cs="Arial"/>
        </w:rPr>
        <w:t xml:space="preserve">This study has several limitations. Results are based on simulations from a single modelling framework and a representative stochastic </w:t>
      </w:r>
      <w:r w:rsidR="004A644E" w:rsidRPr="004A644E">
        <w:rPr>
          <w:rFonts w:ascii="Arial" w:hAnsi="Arial" w:cs="Arial"/>
        </w:rPr>
        <w:t>realisation and</w:t>
      </w:r>
      <w:r w:rsidRPr="004A644E">
        <w:rPr>
          <w:rFonts w:ascii="Arial" w:hAnsi="Arial" w:cs="Arial"/>
        </w:rPr>
        <w:t xml:space="preserve"> therefore do not capture uncertainty arising from stochastic variability or alternative model structures. While seasonality was incorporated using transmission patterns calibrated to the Oti Region of Ghana, spatial heterogeneity within regions and behavioural heterogeneity in net usage were not explicitly modelled. As such, findings should be interpreted as representative of average transmission conditions within each EIR setting rather than fine-scale local dynamics. Additionally, prevalence reduction was evaluated over a defined post-intervention period and may not fully capture longer-term dynamics of immunity or transmission rebound.</w:t>
      </w:r>
    </w:p>
    <w:p w14:paraId="5C4AA0C2" w14:textId="77777777" w:rsidR="004460D3" w:rsidRPr="004A644E" w:rsidRDefault="004460D3" w:rsidP="004460D3">
      <w:pPr>
        <w:rPr>
          <w:rFonts w:ascii="Arial" w:hAnsi="Arial" w:cs="Arial"/>
        </w:rPr>
      </w:pPr>
      <w:r w:rsidRPr="004A644E">
        <w:rPr>
          <w:rFonts w:ascii="Arial" w:hAnsi="Arial" w:cs="Arial"/>
        </w:rPr>
        <w:t>Despite these limitations, our results provide a coherent framework for understanding when and where LLIN-mediated community protection can be expected to contribute meaningfully to malaria control. By shifting the focus from demonstrating the existence of indirect effects to quantifying their dependence on transmission intensity and achievable coverage, this study offers a more nuanced and policy-relevant interpretation of community protection. In doing so, it highlights the need to tailor expectations of LLIN impact to local epidemiological conditions and reinforces the importance of integrated intervention strategies in high-transmission settings.</w:t>
      </w:r>
    </w:p>
    <w:p w14:paraId="6268B051" w14:textId="77777777" w:rsidR="00BD70A3" w:rsidRPr="004A644E" w:rsidRDefault="00BD70A3" w:rsidP="00BD70A3">
      <w:pPr>
        <w:rPr>
          <w:rFonts w:ascii="Arial" w:hAnsi="Arial" w:cs="Arial"/>
          <w:b/>
          <w:bCs/>
        </w:rPr>
      </w:pPr>
      <w:r w:rsidRPr="004A644E">
        <w:rPr>
          <w:rFonts w:ascii="Arial" w:hAnsi="Arial" w:cs="Arial"/>
          <w:b/>
          <w:bCs/>
        </w:rPr>
        <w:t>Conclusion</w:t>
      </w:r>
    </w:p>
    <w:p w14:paraId="6540F49B" w14:textId="77777777" w:rsidR="00BD70A3" w:rsidRPr="004A644E" w:rsidRDefault="00BD70A3" w:rsidP="00BD70A3">
      <w:pPr>
        <w:rPr>
          <w:rFonts w:ascii="Arial" w:hAnsi="Arial" w:cs="Arial"/>
        </w:rPr>
      </w:pPr>
      <w:r w:rsidRPr="004A644E">
        <w:rPr>
          <w:rFonts w:ascii="Arial" w:hAnsi="Arial" w:cs="Arial"/>
        </w:rPr>
        <w:t>This study demonstrates that while long-lasting insecticidal nets provide substantial community-level protection under certain conditions, the strength and reliability of these indirect effects are fundamentally constrained by baseline transmission intensity. Using a transmission-dynamic model, we show that reductions in malaria prevalence among non-users emerge and scale with increasing LLIN usage, but saturate at high transmission levels, limiting the population-level gains achievable through nets alone. By explicitly quantifying LLIN usage thresholds required to achieve meaningful community protection, our findings clarify both the potential and the intrinsic limits of LLIN-mediated indirect effects across epidemiological settings.</w:t>
      </w:r>
    </w:p>
    <w:p w14:paraId="07F4CEB4" w14:textId="77777777" w:rsidR="00BD70A3" w:rsidRPr="004A644E" w:rsidRDefault="004B15CF" w:rsidP="00BD70A3">
      <w:pPr>
        <w:rPr>
          <w:rFonts w:ascii="Arial" w:hAnsi="Arial" w:cs="Arial"/>
        </w:rPr>
      </w:pPr>
      <w:r w:rsidRPr="004A644E">
        <w:rPr>
          <w:rFonts w:ascii="Arial" w:hAnsi="Arial" w:cs="Arial"/>
        </w:rPr>
        <w:pict w14:anchorId="112F65FF">
          <v:rect id="_x0000_i1025" style="width:0;height:1.5pt" o:hralign="center" o:hrstd="t" o:hr="t" fillcolor="#a0a0a0" stroked="f"/>
        </w:pict>
      </w:r>
    </w:p>
    <w:p w14:paraId="55AA948C" w14:textId="77777777" w:rsidR="00BD70A3" w:rsidRPr="004A644E" w:rsidRDefault="00BD70A3" w:rsidP="00BD70A3">
      <w:pPr>
        <w:rPr>
          <w:rFonts w:ascii="Arial" w:hAnsi="Arial" w:cs="Arial"/>
          <w:b/>
          <w:bCs/>
        </w:rPr>
      </w:pPr>
      <w:r w:rsidRPr="004A644E">
        <w:rPr>
          <w:rFonts w:ascii="Arial" w:hAnsi="Arial" w:cs="Arial"/>
          <w:b/>
          <w:bCs/>
        </w:rPr>
        <w:t>Policy implications</w:t>
      </w:r>
    </w:p>
    <w:p w14:paraId="0C11B1CE" w14:textId="77777777" w:rsidR="00BD70A3" w:rsidRPr="004A644E" w:rsidRDefault="00BD70A3" w:rsidP="00BD70A3">
      <w:pPr>
        <w:rPr>
          <w:rFonts w:ascii="Arial" w:hAnsi="Arial" w:cs="Arial"/>
        </w:rPr>
      </w:pPr>
      <w:r w:rsidRPr="004A644E">
        <w:rPr>
          <w:rFonts w:ascii="Arial" w:hAnsi="Arial" w:cs="Arial"/>
        </w:rPr>
        <w:t xml:space="preserve">These results have important implications for malaria control policy. Community protection is frequently invoked as a justification for universal LLIN coverage, yet our findings indicate that the indirect benefits of LLINs are highly context-dependent and may be insufficient to substantially reduce malaria burden in high-transmission settings, even at very high usage levels. In such contexts, expectations of LLIN impact should be calibrated to local transmission intensity, and reliance on nets alone may be inadequate to achieve control or elimination goals. Instead, LLINs </w:t>
      </w:r>
      <w:r w:rsidRPr="004A644E">
        <w:rPr>
          <w:rFonts w:ascii="Arial" w:hAnsi="Arial" w:cs="Arial"/>
        </w:rPr>
        <w:lastRenderedPageBreak/>
        <w:t>should be viewed as a foundational intervention whose impact must be complemented by additional transmission-reducing strategies, such as indoor residual spraying, next-generation vector control tools, or interventions targeting larval habitats. Explicit consideration of transmission intensity and achievable coverage thresholds can help guide more realistic, context-specific malaria control strategies.</w:t>
      </w:r>
    </w:p>
    <w:p w14:paraId="1B52D97B" w14:textId="77777777" w:rsidR="004460D3" w:rsidRPr="004A644E" w:rsidRDefault="004460D3">
      <w:pPr>
        <w:rPr>
          <w:rFonts w:ascii="Arial" w:hAnsi="Arial" w:cs="Arial"/>
        </w:rPr>
      </w:pPr>
    </w:p>
    <w:sectPr w:rsidR="004460D3" w:rsidRPr="004A6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80B63"/>
    <w:multiLevelType w:val="hybridMultilevel"/>
    <w:tmpl w:val="1564045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477233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D3"/>
    <w:rsid w:val="004460D3"/>
    <w:rsid w:val="004A644E"/>
    <w:rsid w:val="004B15CF"/>
    <w:rsid w:val="00657CC7"/>
    <w:rsid w:val="006C102E"/>
    <w:rsid w:val="007129F0"/>
    <w:rsid w:val="00954B3F"/>
    <w:rsid w:val="009F334C"/>
    <w:rsid w:val="00BD70A3"/>
    <w:rsid w:val="00D42676"/>
    <w:rsid w:val="00D46493"/>
    <w:rsid w:val="00E1137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107454"/>
  <w15:chartTrackingRefBased/>
  <w15:docId w15:val="{1E6F743B-A256-401D-92CF-AB7E9F59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0D3"/>
    <w:rPr>
      <w:rFonts w:eastAsiaTheme="majorEastAsia" w:cstheme="majorBidi"/>
      <w:color w:val="272727" w:themeColor="text1" w:themeTint="D8"/>
    </w:rPr>
  </w:style>
  <w:style w:type="paragraph" w:styleId="Title">
    <w:name w:val="Title"/>
    <w:basedOn w:val="Normal"/>
    <w:next w:val="Normal"/>
    <w:link w:val="TitleChar"/>
    <w:uiPriority w:val="10"/>
    <w:qFormat/>
    <w:rsid w:val="00446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0D3"/>
    <w:pPr>
      <w:spacing w:before="160"/>
      <w:jc w:val="center"/>
    </w:pPr>
    <w:rPr>
      <w:i/>
      <w:iCs/>
      <w:color w:val="404040" w:themeColor="text1" w:themeTint="BF"/>
    </w:rPr>
  </w:style>
  <w:style w:type="character" w:customStyle="1" w:styleId="QuoteChar">
    <w:name w:val="Quote Char"/>
    <w:basedOn w:val="DefaultParagraphFont"/>
    <w:link w:val="Quote"/>
    <w:uiPriority w:val="29"/>
    <w:rsid w:val="004460D3"/>
    <w:rPr>
      <w:i/>
      <w:iCs/>
      <w:color w:val="404040" w:themeColor="text1" w:themeTint="BF"/>
    </w:rPr>
  </w:style>
  <w:style w:type="paragraph" w:styleId="ListParagraph">
    <w:name w:val="List Paragraph"/>
    <w:basedOn w:val="Normal"/>
    <w:uiPriority w:val="34"/>
    <w:qFormat/>
    <w:rsid w:val="004460D3"/>
    <w:pPr>
      <w:ind w:left="720"/>
      <w:contextualSpacing/>
    </w:pPr>
  </w:style>
  <w:style w:type="character" w:styleId="IntenseEmphasis">
    <w:name w:val="Intense Emphasis"/>
    <w:basedOn w:val="DefaultParagraphFont"/>
    <w:uiPriority w:val="21"/>
    <w:qFormat/>
    <w:rsid w:val="004460D3"/>
    <w:rPr>
      <w:i/>
      <w:iCs/>
      <w:color w:val="0F4761" w:themeColor="accent1" w:themeShade="BF"/>
    </w:rPr>
  </w:style>
  <w:style w:type="paragraph" w:styleId="IntenseQuote">
    <w:name w:val="Intense Quote"/>
    <w:basedOn w:val="Normal"/>
    <w:next w:val="Normal"/>
    <w:link w:val="IntenseQuoteChar"/>
    <w:uiPriority w:val="30"/>
    <w:qFormat/>
    <w:rsid w:val="00446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0D3"/>
    <w:rPr>
      <w:i/>
      <w:iCs/>
      <w:color w:val="0F4761" w:themeColor="accent1" w:themeShade="BF"/>
    </w:rPr>
  </w:style>
  <w:style w:type="character" w:styleId="IntenseReference">
    <w:name w:val="Intense Reference"/>
    <w:basedOn w:val="DefaultParagraphFont"/>
    <w:uiPriority w:val="32"/>
    <w:qFormat/>
    <w:rsid w:val="00446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1380</Words>
  <Characters>7871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6</cp:revision>
  <dcterms:created xsi:type="dcterms:W3CDTF">2026-01-28T11:32:00Z</dcterms:created>
  <dcterms:modified xsi:type="dcterms:W3CDTF">2026-03-19T23:25:00Z</dcterms:modified>
</cp:coreProperties>
</file>