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2664" w14:textId="77777777" w:rsidR="00DF74CD" w:rsidRPr="00DF74CD" w:rsidRDefault="00DF74CD" w:rsidP="00DF74CD">
      <w:pPr>
        <w:rPr>
          <w:rFonts w:ascii="Arial" w:hAnsi="Arial" w:cs="Arial"/>
          <w:b/>
          <w:bCs/>
        </w:rPr>
      </w:pPr>
      <w:r w:rsidRPr="00DF74CD">
        <w:rPr>
          <w:rFonts w:ascii="Arial" w:hAnsi="Arial" w:cs="Arial"/>
          <w:b/>
          <w:bCs/>
        </w:rPr>
        <w:t>Evaluating the direct, indirect and population-level effects of Long-lasting Insecticidal Nets (LLINs) across different transmission intensities</w:t>
      </w:r>
    </w:p>
    <w:p w14:paraId="0DCCCB0F" w14:textId="77777777" w:rsidR="00DF74CD" w:rsidRPr="00DF74CD" w:rsidRDefault="00DF74CD" w:rsidP="00DF74CD">
      <w:pPr>
        <w:rPr>
          <w:rFonts w:ascii="Arial" w:hAnsi="Arial" w:cs="Arial"/>
          <w:b/>
          <w:bCs/>
        </w:rPr>
      </w:pPr>
      <w:r w:rsidRPr="00DF74CD">
        <w:rPr>
          <w:rFonts w:ascii="Arial" w:hAnsi="Arial" w:cs="Arial"/>
          <w:b/>
          <w:bCs/>
        </w:rPr>
        <w:t>Background</w:t>
      </w:r>
    </w:p>
    <w:p w14:paraId="0496C290" w14:textId="27F79905" w:rsidR="00DF74CD" w:rsidRPr="00DF74CD" w:rsidRDefault="00DF74CD" w:rsidP="00DF74CD">
      <w:pPr>
        <w:rPr>
          <w:rFonts w:ascii="Arial" w:hAnsi="Arial" w:cs="Arial"/>
        </w:rPr>
      </w:pPr>
      <w:r w:rsidRPr="00DF74CD">
        <w:rPr>
          <w:rFonts w:ascii="Arial" w:hAnsi="Arial" w:cs="Arial"/>
        </w:rPr>
        <w:t xml:space="preserve">Malaria control has achieved substantial gains over the past two decades, largely driven by the scale-up of long-lasting insecticidal nets (LLINs). Between 2000 and 2015, increased coverage of insecticide-treated nets was estimated to avert </w:t>
      </w:r>
      <w:r w:rsidR="006D146F">
        <w:rPr>
          <w:rFonts w:ascii="Arial" w:hAnsi="Arial" w:cs="Arial"/>
        </w:rPr>
        <w:t xml:space="preserve">about </w:t>
      </w:r>
      <w:r w:rsidRPr="00DF74CD">
        <w:rPr>
          <w:rFonts w:ascii="Arial" w:hAnsi="Arial" w:cs="Arial"/>
        </w:rPr>
        <w:t>6</w:t>
      </w:r>
      <w:r w:rsidR="006D146F">
        <w:rPr>
          <w:rFonts w:ascii="Arial" w:hAnsi="Arial" w:cs="Arial"/>
        </w:rPr>
        <w:t>63</w:t>
      </w:r>
      <w:r w:rsidRPr="00DF74CD">
        <w:rPr>
          <w:rFonts w:ascii="Arial" w:hAnsi="Arial" w:cs="Arial"/>
        </w:rPr>
        <w:t xml:space="preserve"> million malaria cases in </w:t>
      </w:r>
      <w:r w:rsidR="00795801">
        <w:rPr>
          <w:rFonts w:ascii="Arial" w:hAnsi="Arial" w:cs="Arial"/>
        </w:rPr>
        <w:t>sub–Saharan</w:t>
      </w:r>
      <w:r w:rsidR="00C43E46">
        <w:rPr>
          <w:rFonts w:ascii="Arial" w:hAnsi="Arial" w:cs="Arial"/>
        </w:rPr>
        <w:t xml:space="preserve"> </w:t>
      </w:r>
      <w:r w:rsidRPr="00DF74CD">
        <w:rPr>
          <w:rFonts w:ascii="Arial" w:hAnsi="Arial" w:cs="Arial"/>
        </w:rPr>
        <w:t xml:space="preserve">Africa, where LLINs remain the dominant vector control intervention [1,2]. Mass distribution campaigns have resulted in high levels of population coverage, reflecting the central role of nets in </w:t>
      </w:r>
      <w:r w:rsidRPr="00DF74CD">
        <w:rPr>
          <w:rFonts w:ascii="Arial" w:hAnsi="Arial" w:cs="Arial"/>
          <w:highlight w:val="yellow"/>
        </w:rPr>
        <w:t>contemporary</w:t>
      </w:r>
      <w:r w:rsidRPr="00DF74CD">
        <w:rPr>
          <w:rFonts w:ascii="Arial" w:hAnsi="Arial" w:cs="Arial"/>
        </w:rPr>
        <w:t xml:space="preserve"> malaria prevention strategies. LLINs are widely regarded as among the most cost-effective public health interventions against malaria [3].</w:t>
      </w:r>
    </w:p>
    <w:p w14:paraId="26B2C610" w14:textId="66945E4B" w:rsidR="00DF74CD" w:rsidRPr="00DF74CD" w:rsidRDefault="00DF74CD" w:rsidP="00DF74CD">
      <w:pPr>
        <w:rPr>
          <w:rFonts w:ascii="Arial" w:hAnsi="Arial" w:cs="Arial"/>
        </w:rPr>
      </w:pPr>
      <w:r w:rsidRPr="00DF74CD">
        <w:rPr>
          <w:rFonts w:ascii="Arial" w:hAnsi="Arial" w:cs="Arial"/>
        </w:rPr>
        <w:t>The effectiveness of LLINs arises from two complementary mechanisms: physical prevention of mosquito bites and the insecticidal action that kills or deters mosquitoes. Individuals sleeping under intact, treated nets benefit from direct personal protection. At the same time, reduc</w:t>
      </w:r>
      <w:r w:rsidR="00795801">
        <w:rPr>
          <w:rFonts w:ascii="Arial" w:hAnsi="Arial" w:cs="Arial"/>
        </w:rPr>
        <w:t>ed</w:t>
      </w:r>
      <w:r w:rsidRPr="00DF74CD">
        <w:rPr>
          <w:rFonts w:ascii="Arial" w:hAnsi="Arial" w:cs="Arial"/>
        </w:rPr>
        <w:t xml:space="preserve"> mosquito density, </w:t>
      </w:r>
      <w:r w:rsidR="00795801">
        <w:rPr>
          <w:rFonts w:ascii="Arial" w:hAnsi="Arial" w:cs="Arial"/>
        </w:rPr>
        <w:t>lifespan</w:t>
      </w:r>
      <w:r w:rsidRPr="00DF74CD">
        <w:rPr>
          <w:rFonts w:ascii="Arial" w:hAnsi="Arial" w:cs="Arial"/>
        </w:rPr>
        <w:t xml:space="preserve">, and </w:t>
      </w:r>
      <w:r w:rsidR="001473D1">
        <w:rPr>
          <w:rFonts w:ascii="Arial" w:hAnsi="Arial" w:cs="Arial"/>
        </w:rPr>
        <w:t xml:space="preserve">proportion of </w:t>
      </w:r>
      <w:r w:rsidR="00795801">
        <w:rPr>
          <w:rFonts w:ascii="Arial" w:hAnsi="Arial" w:cs="Arial"/>
        </w:rPr>
        <w:t xml:space="preserve">infectious </w:t>
      </w:r>
      <w:r w:rsidR="001473D1">
        <w:rPr>
          <w:rFonts w:ascii="Arial" w:hAnsi="Arial" w:cs="Arial"/>
        </w:rPr>
        <w:t xml:space="preserve">mosquitoes </w:t>
      </w:r>
      <w:r w:rsidRPr="00DF74CD">
        <w:rPr>
          <w:rFonts w:ascii="Arial" w:hAnsi="Arial" w:cs="Arial"/>
        </w:rPr>
        <w:t>generate indirect (community-level) protection</w:t>
      </w:r>
      <w:r w:rsidR="00464F67">
        <w:rPr>
          <w:rFonts w:ascii="Arial" w:hAnsi="Arial" w:cs="Arial"/>
        </w:rPr>
        <w:t xml:space="preserve"> </w:t>
      </w:r>
      <w:r w:rsidR="00464F67" w:rsidRPr="00464F67">
        <w:rPr>
          <w:rFonts w:ascii="Arial" w:hAnsi="Arial" w:cs="Arial"/>
          <w:b/>
          <w:bCs/>
        </w:rPr>
        <w:t>[7-10]</w:t>
      </w:r>
      <w:r w:rsidRPr="00DF74CD">
        <w:rPr>
          <w:rFonts w:ascii="Arial" w:hAnsi="Arial" w:cs="Arial"/>
          <w:b/>
          <w:bCs/>
        </w:rPr>
        <w:t>.</w:t>
      </w:r>
      <w:r w:rsidRPr="00DF74CD">
        <w:rPr>
          <w:rFonts w:ascii="Arial" w:hAnsi="Arial" w:cs="Arial"/>
        </w:rPr>
        <w:t xml:space="preserve"> As coverage increases, even individuals who do not use nets may experience reduced malaria risk due to decreased transmission intensity in the surrounding population [4–8].</w:t>
      </w:r>
    </w:p>
    <w:p w14:paraId="33650CAF" w14:textId="20DA0F8A" w:rsidR="00DF74CD" w:rsidRPr="00DF74CD" w:rsidRDefault="00DF74CD" w:rsidP="00DF74CD">
      <w:pPr>
        <w:rPr>
          <w:rFonts w:ascii="Arial" w:hAnsi="Arial" w:cs="Arial"/>
        </w:rPr>
      </w:pPr>
      <w:r w:rsidRPr="00DF74CD">
        <w:rPr>
          <w:rFonts w:ascii="Arial" w:hAnsi="Arial" w:cs="Arial"/>
        </w:rPr>
        <w:t xml:space="preserve">Evidence for this community-level protection comes from both empirical and modelling studies. Cluster-randomized trials and observational studies, including work from western Kenya, have demonstrated reductions in malaria prevalence and child mortality among both </w:t>
      </w:r>
      <w:r w:rsidR="002A77E4">
        <w:rPr>
          <w:rFonts w:ascii="Arial" w:hAnsi="Arial" w:cs="Arial"/>
        </w:rPr>
        <w:t>LLIN</w:t>
      </w:r>
      <w:r w:rsidRPr="00DF74CD">
        <w:rPr>
          <w:rFonts w:ascii="Arial" w:hAnsi="Arial" w:cs="Arial"/>
        </w:rPr>
        <w:t xml:space="preserve"> users and non-users residing in areas of high coverage [5–7,9,10]. Systematic syntheses confirm that these indirect effects contribute substantially to overall impact, particularly once coverage reaches moderate to high levels [8]. </w:t>
      </w:r>
      <w:r w:rsidRPr="00DF74CD">
        <w:rPr>
          <w:rFonts w:ascii="Arial" w:hAnsi="Arial" w:cs="Arial"/>
          <w:highlight w:val="yellow"/>
        </w:rPr>
        <w:t xml:space="preserve">Transmission-dynamic modelling further suggests that, as coverage increases, indirect effects can account for a growing share of population-level impact </w:t>
      </w:r>
      <w:commentRangeStart w:id="0"/>
      <w:r w:rsidRPr="00DF74CD">
        <w:rPr>
          <w:rFonts w:ascii="Arial" w:hAnsi="Arial" w:cs="Arial"/>
          <w:highlight w:val="yellow"/>
        </w:rPr>
        <w:t>[11]</w:t>
      </w:r>
      <w:commentRangeEnd w:id="0"/>
      <w:r w:rsidR="00F33B76">
        <w:rPr>
          <w:rStyle w:val="CommentReference"/>
        </w:rPr>
        <w:commentReference w:id="0"/>
      </w:r>
      <w:r w:rsidRPr="00DF74CD">
        <w:rPr>
          <w:rFonts w:ascii="Arial" w:hAnsi="Arial" w:cs="Arial"/>
        </w:rPr>
        <w:t>. Recognition of these dynamics informed the shift from targeted net distribution toward universal coverage strategies, which aim to maximize both personal and community-level benefits [12].</w:t>
      </w:r>
    </w:p>
    <w:p w14:paraId="46A46A3E" w14:textId="26C23018" w:rsidR="00DF74CD" w:rsidRPr="00DF74CD" w:rsidRDefault="00DF74CD" w:rsidP="00DF74CD">
      <w:pPr>
        <w:rPr>
          <w:rFonts w:ascii="Arial" w:hAnsi="Arial" w:cs="Arial"/>
        </w:rPr>
      </w:pPr>
      <w:r w:rsidRPr="00DF74CD">
        <w:rPr>
          <w:rFonts w:ascii="Arial" w:hAnsi="Arial" w:cs="Arial"/>
        </w:rPr>
        <w:t xml:space="preserve">Despite this conceptual foundation, the magnitude and reliability of community protection from LLINs remain incompletely characterized across epidemiological settings. </w:t>
      </w:r>
      <w:r w:rsidR="00BD3C6A" w:rsidRPr="00BD3C6A">
        <w:rPr>
          <w:rFonts w:ascii="Arial" w:hAnsi="Arial" w:cs="Arial"/>
        </w:rPr>
        <w:t>Emerging empirical evidence indicates that indirect effects are heterogeneous and sensitive to local transmission dynamics, intervention coverage, and vector ecology, with community protection from nets varying by spatial scale and local coverage levels in multiple African settings</w:t>
      </w:r>
      <w:r w:rsidR="00BD3C6A">
        <w:rPr>
          <w:rFonts w:ascii="Arial" w:hAnsi="Arial" w:cs="Arial"/>
        </w:rPr>
        <w:t xml:space="preserve"> </w:t>
      </w:r>
      <w:r w:rsidR="00BD3C6A" w:rsidRPr="00BD3C6A">
        <w:rPr>
          <w:rFonts w:ascii="Arial" w:hAnsi="Arial" w:cs="Arial"/>
          <w:b/>
          <w:bCs/>
        </w:rPr>
        <w:t>[</w:t>
      </w:r>
      <w:r w:rsidR="003407CB">
        <w:rPr>
          <w:rFonts w:ascii="Arial" w:hAnsi="Arial" w:cs="Arial"/>
          <w:b/>
          <w:bCs/>
        </w:rPr>
        <w:t>Jarvis (navrongo),</w:t>
      </w:r>
      <w:r w:rsidR="00FE1B64">
        <w:rPr>
          <w:rFonts w:ascii="Arial" w:hAnsi="Arial" w:cs="Arial"/>
          <w:b/>
          <w:bCs/>
        </w:rPr>
        <w:t xml:space="preserve"> komazawa</w:t>
      </w:r>
      <w:r w:rsidR="003407CB">
        <w:rPr>
          <w:rFonts w:ascii="Arial" w:hAnsi="Arial" w:cs="Arial"/>
          <w:b/>
          <w:bCs/>
        </w:rPr>
        <w:t xml:space="preserve"> </w:t>
      </w:r>
      <w:r w:rsidR="00BD3C6A" w:rsidRPr="00BD3C6A">
        <w:rPr>
          <w:rFonts w:ascii="Arial" w:hAnsi="Arial" w:cs="Arial"/>
          <w:b/>
          <w:bCs/>
        </w:rPr>
        <w:t>unwin et al]</w:t>
      </w:r>
      <w:r w:rsidRPr="00DF74CD">
        <w:rPr>
          <w:rFonts w:ascii="Arial" w:hAnsi="Arial" w:cs="Arial"/>
        </w:rPr>
        <w:t xml:space="preserve">. Re-analyses of cluster-randomized trials of malaria interventions, including chemoprevention and indoor residual spraying, have demonstrated substantial spillover effects among non-recipients, but also shown that these effects vary with spatial scale, baseline transmission intensity, and intervention mix [10]. </w:t>
      </w:r>
      <w:r w:rsidRPr="00DF74CD">
        <w:rPr>
          <w:rFonts w:ascii="Arial" w:hAnsi="Arial" w:cs="Arial"/>
        </w:rPr>
        <w:lastRenderedPageBreak/>
        <w:t>These findings challenge the implicit assumption that community protection scales uniformly with LLIN usage.</w:t>
      </w:r>
    </w:p>
    <w:p w14:paraId="2C8CB01B" w14:textId="77777777" w:rsidR="00DF74CD" w:rsidRPr="00DF74CD" w:rsidRDefault="00DF74CD" w:rsidP="00DF74CD">
      <w:pPr>
        <w:rPr>
          <w:rFonts w:ascii="Arial" w:hAnsi="Arial" w:cs="Arial"/>
        </w:rPr>
      </w:pPr>
      <w:r w:rsidRPr="00DF74CD">
        <w:rPr>
          <w:rFonts w:ascii="Arial" w:hAnsi="Arial" w:cs="Arial"/>
        </w:rPr>
        <w:t>Transmission intensity, commonly summarized by the entomological inoculation rate (EIR), is likely a primary determinant of community-level effects. Modelling studies parameterized with entomological and epidemiological data demonstrate that baseline transmission intensity and intervention coverage exert stronger influence on population-level impact than insecticide resistance alone [3]. At high transmission intensity, persistent exposure to infectious bites may limit the extent to which reductions in mosquito survival translate into substantial declines in human infection prevalence. Indirect effects may therefore saturate, even at high LLIN usage levels.</w:t>
      </w:r>
    </w:p>
    <w:p w14:paraId="2C4CBEA5" w14:textId="77777777" w:rsidR="00DF74CD" w:rsidRPr="00DF74CD" w:rsidRDefault="00DF74CD" w:rsidP="00DF74CD">
      <w:pPr>
        <w:rPr>
          <w:rFonts w:ascii="Arial" w:hAnsi="Arial" w:cs="Arial"/>
        </w:rPr>
      </w:pPr>
      <w:r w:rsidRPr="00DF74CD">
        <w:rPr>
          <w:rFonts w:ascii="Arial" w:hAnsi="Arial" w:cs="Arial"/>
          <w:highlight w:val="yellow"/>
        </w:rPr>
        <w:t>At the same time, the mechanisms underpinning community protection are evolving. Widespread pyrethroid resistance and declining net durability under field conditions have reduced the mosquito-killing effects historically attributed to LLINs. As a result, the balance of benefit is shifting toward physical barrier effects and consistent population-level use. Recent syntheses conclude that although LLINs remain epidemiologically valuable, their capacity to generate strong communal benefits through mosquito mortality has weakened in many settings, particularly where resistance is intense and nets age rapidly</w:t>
      </w:r>
      <w:r w:rsidRPr="00DF74CD">
        <w:rPr>
          <w:rFonts w:ascii="Arial" w:hAnsi="Arial" w:cs="Arial"/>
        </w:rPr>
        <w:t xml:space="preserve"> [4,13].</w:t>
      </w:r>
    </w:p>
    <w:p w14:paraId="173A9AAF" w14:textId="4E9A6556" w:rsidR="00DF74CD" w:rsidRPr="00DF74CD" w:rsidRDefault="00DF74CD" w:rsidP="00DF74CD">
      <w:pPr>
        <w:rPr>
          <w:rFonts w:ascii="Arial" w:hAnsi="Arial" w:cs="Arial"/>
        </w:rPr>
      </w:pPr>
      <w:r w:rsidRPr="00DF74CD">
        <w:rPr>
          <w:rFonts w:ascii="Arial" w:hAnsi="Arial" w:cs="Arial"/>
        </w:rPr>
        <w:t xml:space="preserve">Taken together, these observations highlight a critical gap. While community protection is frequently invoked to justify universal LLIN coverage, its dependence on transmission intensity and achievable usage levels has not been systematically quantified across a broad EIR range. </w:t>
      </w:r>
      <w:r w:rsidR="009D1A51" w:rsidRPr="00DF74CD">
        <w:rPr>
          <w:rFonts w:ascii="Arial" w:hAnsi="Arial" w:cs="Arial"/>
        </w:rPr>
        <w:t>Existing</w:t>
      </w:r>
      <w:r w:rsidRPr="00DF74CD">
        <w:rPr>
          <w:rFonts w:ascii="Arial" w:hAnsi="Arial" w:cs="Arial"/>
        </w:rPr>
        <w:t xml:space="preserve"> studies rarely estimate the level of LLIN usage required to achieve meaningful reductions in malaria prevalence among non-users, nor do they explicitly examine how such thresholds shift across transmission </w:t>
      </w:r>
      <w:r w:rsidR="00216C5D">
        <w:rPr>
          <w:rFonts w:ascii="Arial" w:hAnsi="Arial" w:cs="Arial"/>
        </w:rPr>
        <w:t>intensities</w:t>
      </w:r>
      <w:r w:rsidRPr="00DF74CD">
        <w:rPr>
          <w:rFonts w:ascii="Arial" w:hAnsi="Arial" w:cs="Arial"/>
        </w:rPr>
        <w:t>. A systematic evaluation that varies transmission intensity independently of specific geographic settings is therefore needed.</w:t>
      </w:r>
    </w:p>
    <w:p w14:paraId="3E4CDDC7" w14:textId="7FA9D72A" w:rsidR="00DF74CD" w:rsidRPr="00DF74CD" w:rsidRDefault="000E5956" w:rsidP="00DF74CD">
      <w:pPr>
        <w:rPr>
          <w:rFonts w:ascii="Arial" w:hAnsi="Arial" w:cs="Arial"/>
        </w:rPr>
      </w:pPr>
      <w:r>
        <w:rPr>
          <w:rFonts w:ascii="Arial" w:hAnsi="Arial" w:cs="Arial"/>
        </w:rPr>
        <w:t xml:space="preserve">Since it is practically infeasible to </w:t>
      </w:r>
      <w:r w:rsidR="00F75E34">
        <w:rPr>
          <w:rFonts w:ascii="Arial" w:hAnsi="Arial" w:cs="Arial"/>
        </w:rPr>
        <w:t>ascertain this</w:t>
      </w:r>
      <w:r w:rsidR="00F75E34">
        <w:rPr>
          <w:rFonts w:ascii="Arial" w:hAnsi="Arial" w:cs="Arial"/>
        </w:rPr>
        <w:t xml:space="preserve"> through cluster randomised control trials</w:t>
      </w:r>
      <w:r>
        <w:rPr>
          <w:rFonts w:ascii="Arial" w:hAnsi="Arial" w:cs="Arial"/>
        </w:rPr>
        <w:t xml:space="preserve"> on a broad range transmission settings,</w:t>
      </w:r>
      <w:r w:rsidR="00DF74CD" w:rsidRPr="00DF74CD">
        <w:rPr>
          <w:rFonts w:ascii="Arial" w:hAnsi="Arial" w:cs="Arial"/>
        </w:rPr>
        <w:t xml:space="preserve"> we use a </w:t>
      </w:r>
      <w:r w:rsidR="00C86C17">
        <w:rPr>
          <w:rFonts w:ascii="Arial" w:hAnsi="Arial" w:cs="Arial"/>
        </w:rPr>
        <w:t xml:space="preserve">mathematical model of malaria </w:t>
      </w:r>
      <w:r w:rsidR="00DF74CD" w:rsidRPr="00DF74CD">
        <w:rPr>
          <w:rFonts w:ascii="Arial" w:hAnsi="Arial" w:cs="Arial"/>
        </w:rPr>
        <w:t>transmission</w:t>
      </w:r>
      <w:r>
        <w:rPr>
          <w:rFonts w:ascii="Arial" w:hAnsi="Arial" w:cs="Arial"/>
        </w:rPr>
        <w:t xml:space="preserve"> in this study</w:t>
      </w:r>
      <w:r w:rsidR="00DF74CD" w:rsidRPr="00DF74CD">
        <w:rPr>
          <w:rFonts w:ascii="Arial" w:hAnsi="Arial" w:cs="Arial"/>
        </w:rPr>
        <w:t xml:space="preserve"> to quantify the direct and indirect effects of LLIN usage across a wide range of transmission intensities. We compare malaria prevalence among LLIN users, non-users, and the overall population under varying usage levels, and estimate these effects as reductions in prevalence within each group. We further identify LLIN usage thresholds required to achieve predefined reductions in prevalence among non-users. By characterizing how indirect effects emerge, scale, and saturate across transmission settings, this analysis clarifies the conditions under which LLIN-mediated community protection can be expected and where its impact is inherently constrained.</w:t>
      </w:r>
    </w:p>
    <w:p w14:paraId="3AAADE16" w14:textId="5E1730EA" w:rsidR="00D46493" w:rsidRPr="00464F67" w:rsidRDefault="00A72C8E">
      <w:pPr>
        <w:rPr>
          <w:rFonts w:ascii="Arial" w:hAnsi="Arial" w:cs="Arial"/>
          <w:b/>
          <w:bCs/>
          <w:u w:val="single"/>
        </w:rPr>
      </w:pPr>
      <w:r w:rsidRPr="00464F67">
        <w:rPr>
          <w:rFonts w:ascii="Arial" w:hAnsi="Arial" w:cs="Arial"/>
          <w:b/>
          <w:bCs/>
          <w:u w:val="single"/>
        </w:rPr>
        <w:t>Empirical evidence of community protection</w:t>
      </w:r>
    </w:p>
    <w:p w14:paraId="58F4E2B9" w14:textId="77777777" w:rsidR="00464F67" w:rsidRDefault="00A72C8E">
      <w:pPr>
        <w:rPr>
          <w:rFonts w:ascii="Arial" w:hAnsi="Arial" w:cs="Arial"/>
        </w:rPr>
      </w:pPr>
      <w:r w:rsidRPr="00A72C8E">
        <w:rPr>
          <w:rFonts w:ascii="Arial" w:hAnsi="Arial" w:cs="Arial"/>
        </w:rPr>
        <w:t xml:space="preserve">7. Howard SC, Omumbo J, Nevill C, Some ES, Donnelly CA, et al. (2000) Evidence for a mass community effect of insecticide-treated bednets on the incidence of </w:t>
      </w:r>
      <w:r w:rsidRPr="00A72C8E">
        <w:rPr>
          <w:rFonts w:ascii="Arial" w:hAnsi="Arial" w:cs="Arial"/>
        </w:rPr>
        <w:lastRenderedPageBreak/>
        <w:t xml:space="preserve">malaria on the Kenyan coast. Transactions of the Royal Society of Tropical Medicine and Hygiene 94: 357–360. </w:t>
      </w:r>
    </w:p>
    <w:p w14:paraId="29AB92FA" w14:textId="6C7ED66C" w:rsidR="00A72C8E" w:rsidRDefault="00A72C8E">
      <w:pPr>
        <w:rPr>
          <w:rFonts w:ascii="Arial" w:hAnsi="Arial" w:cs="Arial"/>
        </w:rPr>
      </w:pPr>
      <w:r w:rsidRPr="00A72C8E">
        <w:rPr>
          <w:rFonts w:ascii="Arial" w:hAnsi="Arial" w:cs="Arial"/>
        </w:rPr>
        <w:t xml:space="preserve">8. Klinkenberg E, Onwona-Agyeman KA, McCall PJ, Wilson MD, Bates I, et al. (2010) Cohort trial reveals community impact of insecticide-treated nets on malariometric indices in urban Ghana. Trans R Soc Trop Med Hyg 104: 496– 503. </w:t>
      </w:r>
    </w:p>
    <w:p w14:paraId="6ADB7BA0" w14:textId="0C2CB1BF" w:rsidR="00A72C8E" w:rsidRDefault="00A72C8E">
      <w:pPr>
        <w:rPr>
          <w:rFonts w:ascii="Arial" w:hAnsi="Arial" w:cs="Arial"/>
        </w:rPr>
      </w:pPr>
      <w:r w:rsidRPr="00A72C8E">
        <w:rPr>
          <w:rFonts w:ascii="Arial" w:hAnsi="Arial" w:cs="Arial"/>
        </w:rPr>
        <w:t>9. Hawley WA, Phillips-Howard PA, ter Kuile FO, Terlouw DJ, Vulule JM, et al. (2003) Community-wide effects of permethrin-treated bed nets on child mortality and malaria morbidity in western Kenya. The American journal of tropical medicine and hygiene 68: 121–127</w:t>
      </w:r>
    </w:p>
    <w:p w14:paraId="2C4C46A0" w14:textId="7B6E4AA9" w:rsidR="00464F67" w:rsidRPr="00DF74CD" w:rsidRDefault="00464F67">
      <w:pPr>
        <w:rPr>
          <w:rFonts w:ascii="Arial" w:hAnsi="Arial" w:cs="Arial"/>
        </w:rPr>
      </w:pPr>
      <w:r w:rsidRPr="00464F67">
        <w:rPr>
          <w:rFonts w:ascii="Arial" w:hAnsi="Arial" w:cs="Arial"/>
        </w:rPr>
        <w:t>10. Gosoniu L, Vounatsou P, Tami A, Nathan R, Grundmann H, et al. (2008) Spatial effects of mosquito bednets on child mortality. BMC Public Health 8: 356</w:t>
      </w:r>
    </w:p>
    <w:sectPr w:rsidR="00464F67" w:rsidRPr="00DF74C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nabu Suboi" w:date="2026-02-16T16:43:00Z" w:initials="ZS">
    <w:p w14:paraId="6892F6B3" w14:textId="77777777" w:rsidR="00F33B76" w:rsidRDefault="00F33B76" w:rsidP="00F33B76">
      <w:pPr>
        <w:pStyle w:val="CommentText"/>
      </w:pPr>
      <w:r>
        <w:rPr>
          <w:rStyle w:val="CommentReference"/>
        </w:rPr>
        <w:annotationRef/>
      </w:r>
      <w:r>
        <w:t>Check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2F6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562A22" w16cex:dateUtc="2026-02-16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2F6B3" w16cid:durableId="51562A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nabu Suboi">
    <w15:presenceInfo w15:providerId="AD" w15:userId="S::zenabu.suboi@swisstph.ch::d0f6b80e-dabc-456f-83c7-f9fb96a30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CD"/>
    <w:rsid w:val="000E5956"/>
    <w:rsid w:val="001473D1"/>
    <w:rsid w:val="00216C5D"/>
    <w:rsid w:val="002A77E4"/>
    <w:rsid w:val="003407CB"/>
    <w:rsid w:val="00464F67"/>
    <w:rsid w:val="006D146F"/>
    <w:rsid w:val="00795801"/>
    <w:rsid w:val="009D1A51"/>
    <w:rsid w:val="009F334C"/>
    <w:rsid w:val="00A72C8E"/>
    <w:rsid w:val="00A92D78"/>
    <w:rsid w:val="00BD3C6A"/>
    <w:rsid w:val="00C43E46"/>
    <w:rsid w:val="00C86C17"/>
    <w:rsid w:val="00D46493"/>
    <w:rsid w:val="00DA70A4"/>
    <w:rsid w:val="00DF74CD"/>
    <w:rsid w:val="00F33B76"/>
    <w:rsid w:val="00F75E34"/>
    <w:rsid w:val="00FE1B6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EA1EF"/>
  <w15:chartTrackingRefBased/>
  <w15:docId w15:val="{07189973-47AB-43CC-9FE4-BECC253AF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4CD"/>
    <w:rPr>
      <w:rFonts w:eastAsiaTheme="majorEastAsia" w:cstheme="majorBidi"/>
      <w:color w:val="272727" w:themeColor="text1" w:themeTint="D8"/>
    </w:rPr>
  </w:style>
  <w:style w:type="paragraph" w:styleId="Title">
    <w:name w:val="Title"/>
    <w:basedOn w:val="Normal"/>
    <w:next w:val="Normal"/>
    <w:link w:val="TitleChar"/>
    <w:uiPriority w:val="10"/>
    <w:qFormat/>
    <w:rsid w:val="00DF7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4CD"/>
    <w:pPr>
      <w:spacing w:before="160"/>
      <w:jc w:val="center"/>
    </w:pPr>
    <w:rPr>
      <w:i/>
      <w:iCs/>
      <w:color w:val="404040" w:themeColor="text1" w:themeTint="BF"/>
    </w:rPr>
  </w:style>
  <w:style w:type="character" w:customStyle="1" w:styleId="QuoteChar">
    <w:name w:val="Quote Char"/>
    <w:basedOn w:val="DefaultParagraphFont"/>
    <w:link w:val="Quote"/>
    <w:uiPriority w:val="29"/>
    <w:rsid w:val="00DF74CD"/>
    <w:rPr>
      <w:i/>
      <w:iCs/>
      <w:color w:val="404040" w:themeColor="text1" w:themeTint="BF"/>
    </w:rPr>
  </w:style>
  <w:style w:type="paragraph" w:styleId="ListParagraph">
    <w:name w:val="List Paragraph"/>
    <w:basedOn w:val="Normal"/>
    <w:uiPriority w:val="34"/>
    <w:qFormat/>
    <w:rsid w:val="00DF74CD"/>
    <w:pPr>
      <w:ind w:left="720"/>
      <w:contextualSpacing/>
    </w:pPr>
  </w:style>
  <w:style w:type="character" w:styleId="IntenseEmphasis">
    <w:name w:val="Intense Emphasis"/>
    <w:basedOn w:val="DefaultParagraphFont"/>
    <w:uiPriority w:val="21"/>
    <w:qFormat/>
    <w:rsid w:val="00DF74CD"/>
    <w:rPr>
      <w:i/>
      <w:iCs/>
      <w:color w:val="0F4761" w:themeColor="accent1" w:themeShade="BF"/>
    </w:rPr>
  </w:style>
  <w:style w:type="paragraph" w:styleId="IntenseQuote">
    <w:name w:val="Intense Quote"/>
    <w:basedOn w:val="Normal"/>
    <w:next w:val="Normal"/>
    <w:link w:val="IntenseQuoteChar"/>
    <w:uiPriority w:val="30"/>
    <w:qFormat/>
    <w:rsid w:val="00DF7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4CD"/>
    <w:rPr>
      <w:i/>
      <w:iCs/>
      <w:color w:val="0F4761" w:themeColor="accent1" w:themeShade="BF"/>
    </w:rPr>
  </w:style>
  <w:style w:type="character" w:styleId="IntenseReference">
    <w:name w:val="Intense Reference"/>
    <w:basedOn w:val="DefaultParagraphFont"/>
    <w:uiPriority w:val="32"/>
    <w:qFormat/>
    <w:rsid w:val="00DF74CD"/>
    <w:rPr>
      <w:b/>
      <w:bCs/>
      <w:smallCaps/>
      <w:color w:val="0F4761" w:themeColor="accent1" w:themeShade="BF"/>
      <w:spacing w:val="5"/>
    </w:rPr>
  </w:style>
  <w:style w:type="character" w:styleId="CommentReference">
    <w:name w:val="annotation reference"/>
    <w:basedOn w:val="DefaultParagraphFont"/>
    <w:uiPriority w:val="99"/>
    <w:semiHidden/>
    <w:unhideWhenUsed/>
    <w:rsid w:val="00F33B76"/>
    <w:rPr>
      <w:sz w:val="16"/>
      <w:szCs w:val="16"/>
    </w:rPr>
  </w:style>
  <w:style w:type="paragraph" w:styleId="CommentText">
    <w:name w:val="annotation text"/>
    <w:basedOn w:val="Normal"/>
    <w:link w:val="CommentTextChar"/>
    <w:uiPriority w:val="99"/>
    <w:unhideWhenUsed/>
    <w:rsid w:val="00F33B76"/>
    <w:pPr>
      <w:spacing w:line="240" w:lineRule="auto"/>
    </w:pPr>
    <w:rPr>
      <w:sz w:val="20"/>
      <w:szCs w:val="20"/>
    </w:rPr>
  </w:style>
  <w:style w:type="character" w:customStyle="1" w:styleId="CommentTextChar">
    <w:name w:val="Comment Text Char"/>
    <w:basedOn w:val="DefaultParagraphFont"/>
    <w:link w:val="CommentText"/>
    <w:uiPriority w:val="99"/>
    <w:rsid w:val="00F33B76"/>
    <w:rPr>
      <w:sz w:val="20"/>
      <w:szCs w:val="20"/>
    </w:rPr>
  </w:style>
  <w:style w:type="paragraph" w:styleId="CommentSubject">
    <w:name w:val="annotation subject"/>
    <w:basedOn w:val="CommentText"/>
    <w:next w:val="CommentText"/>
    <w:link w:val="CommentSubjectChar"/>
    <w:uiPriority w:val="99"/>
    <w:semiHidden/>
    <w:unhideWhenUsed/>
    <w:rsid w:val="00F33B76"/>
    <w:rPr>
      <w:b/>
      <w:bCs/>
    </w:rPr>
  </w:style>
  <w:style w:type="character" w:customStyle="1" w:styleId="CommentSubjectChar">
    <w:name w:val="Comment Subject Char"/>
    <w:basedOn w:val="CommentTextChar"/>
    <w:link w:val="CommentSubject"/>
    <w:uiPriority w:val="99"/>
    <w:semiHidden/>
    <w:rsid w:val="00F33B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7</cp:revision>
  <dcterms:created xsi:type="dcterms:W3CDTF">2026-02-12T09:34:00Z</dcterms:created>
  <dcterms:modified xsi:type="dcterms:W3CDTF">2026-02-20T15:13:00Z</dcterms:modified>
</cp:coreProperties>
</file>