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080F4" w14:textId="0D380C6E" w:rsidR="003E236E" w:rsidRPr="003E236E" w:rsidRDefault="00AE2DA1" w:rsidP="003E236E">
      <w:pPr>
        <w:rPr>
          <w:rFonts w:ascii="Arial" w:hAnsi="Arial" w:cs="Arial"/>
          <w:b/>
          <w:bCs/>
        </w:rPr>
      </w:pPr>
      <w:r w:rsidRPr="00AE2DA1">
        <w:rPr>
          <w:rFonts w:ascii="Arial" w:hAnsi="Arial" w:cs="Arial"/>
          <w:b/>
          <w:bCs/>
        </w:rPr>
        <w:t>Methods</w:t>
      </w:r>
    </w:p>
    <w:p w14:paraId="2FFD2E1C" w14:textId="5BC82641" w:rsidR="008F2CBE" w:rsidRDefault="008F2CBE" w:rsidP="008F2CBE">
      <w:pPr>
        <w:pStyle w:val="ListParagraph"/>
      </w:pPr>
      <w:r>
        <w:t>Unwin et al.</w:t>
      </w:r>
    </w:p>
    <w:p w14:paraId="1EDEBD98" w14:textId="77777777" w:rsidR="008F2CBE" w:rsidRDefault="008F2CBE" w:rsidP="008F2CBE">
      <w:pPr>
        <w:pStyle w:val="ListParagraph"/>
        <w:numPr>
          <w:ilvl w:val="0"/>
          <w:numId w:val="1"/>
        </w:numPr>
      </w:pPr>
      <w:r>
        <w:t>Specify net type used for simulation based on the parameterization</w:t>
      </w:r>
    </w:p>
    <w:p w14:paraId="621C2664" w14:textId="77777777" w:rsidR="008F2CBE" w:rsidRDefault="008F2CBE" w:rsidP="008F2CBE">
      <w:pPr>
        <w:pStyle w:val="ListParagraph"/>
        <w:numPr>
          <w:ilvl w:val="0"/>
          <w:numId w:val="1"/>
        </w:numPr>
      </w:pPr>
      <w:r w:rsidRPr="00BC39C0">
        <w:t xml:space="preserve">Depending on the analyses </w:t>
      </w:r>
      <w:r w:rsidRPr="00BC39C0">
        <w:rPr>
          <w:b/>
          <w:bCs/>
        </w:rPr>
        <w:t>both all-age</w:t>
      </w:r>
      <w:r w:rsidRPr="00BC39C0">
        <w:t xml:space="preserve"> prevalence and</w:t>
      </w:r>
      <w:r>
        <w:t xml:space="preserve"> </w:t>
      </w:r>
      <w:r w:rsidRPr="00B97FCC">
        <w:rPr>
          <w:b/>
          <w:bCs/>
        </w:rPr>
        <w:t>6–</w:t>
      </w:r>
      <w:proofErr w:type="gramStart"/>
      <w:r w:rsidRPr="00B97FCC">
        <w:rPr>
          <w:b/>
          <w:bCs/>
        </w:rPr>
        <w:t>59-month old</w:t>
      </w:r>
      <w:proofErr w:type="gramEnd"/>
      <w:r w:rsidRPr="00BC39C0">
        <w:t xml:space="preserve"> prevalence </w:t>
      </w:r>
      <w:proofErr w:type="gramStart"/>
      <w:r w:rsidRPr="00BC39C0">
        <w:t>are</w:t>
      </w:r>
      <w:proofErr w:type="gramEnd"/>
      <w:r w:rsidRPr="00BC39C0">
        <w:t xml:space="preserve"> presented</w:t>
      </w:r>
    </w:p>
    <w:p w14:paraId="6CF9B0AE" w14:textId="77777777" w:rsidR="008F2CBE" w:rsidRDefault="008F2CBE" w:rsidP="008F2CBE">
      <w:pPr>
        <w:pStyle w:val="ListParagraph"/>
        <w:numPr>
          <w:ilvl w:val="0"/>
          <w:numId w:val="1"/>
        </w:numPr>
      </w:pPr>
      <w:r w:rsidRPr="00BC39C0">
        <w:t>We briefly describe the</w:t>
      </w:r>
      <w:r>
        <w:t xml:space="preserve"> </w:t>
      </w:r>
      <w:r w:rsidRPr="00BC39C0">
        <w:t xml:space="preserve">model below focusing on how the effect of </w:t>
      </w:r>
      <w:proofErr w:type="spellStart"/>
      <w:r w:rsidRPr="00BC39C0">
        <w:t>LLINs</w:t>
      </w:r>
      <w:proofErr w:type="spellEnd"/>
      <w:r w:rsidRPr="00BC39C0">
        <w:t xml:space="preserve"> are incorporated</w:t>
      </w:r>
    </w:p>
    <w:p w14:paraId="41FBE1B2" w14:textId="77777777" w:rsidR="008F2CBE" w:rsidRPr="00D31145" w:rsidRDefault="008F2CBE" w:rsidP="008F2CBE">
      <w:pPr>
        <w:pStyle w:val="ListParagraph"/>
        <w:numPr>
          <w:ilvl w:val="0"/>
          <w:numId w:val="1"/>
        </w:numPr>
        <w:rPr>
          <w:highlight w:val="cyan"/>
        </w:rPr>
      </w:pPr>
      <w:r w:rsidRPr="0061089A">
        <w:rPr>
          <w:highlight w:val="cyan"/>
        </w:rPr>
        <w:t>The model is used to project how malaria prevalence may differ between users and non-users for different levels of malaria endemicity and LLIN use</w:t>
      </w:r>
    </w:p>
    <w:p w14:paraId="770E4573" w14:textId="77777777" w:rsidR="008F2CBE" w:rsidRDefault="008F2CBE" w:rsidP="008F2CBE">
      <w:pPr>
        <w:pStyle w:val="ListParagraph"/>
        <w:numPr>
          <w:ilvl w:val="0"/>
          <w:numId w:val="1"/>
        </w:numPr>
        <w:rPr>
          <w:highlight w:val="cyan"/>
        </w:rPr>
      </w:pPr>
      <w:r w:rsidRPr="00CD2083">
        <w:rPr>
          <w:highlight w:val="cyan"/>
        </w:rPr>
        <w:t>All figures are based on five stochastic realizations (seed = 5)</w:t>
      </w:r>
    </w:p>
    <w:p w14:paraId="40E3618A" w14:textId="77777777" w:rsidR="003E236E" w:rsidRDefault="003E236E">
      <w:pPr>
        <w:rPr>
          <w:rFonts w:ascii="Arial" w:hAnsi="Arial" w:cs="Arial"/>
        </w:rPr>
      </w:pPr>
    </w:p>
    <w:tbl>
      <w:tblPr>
        <w:tblStyle w:val="TableGridLight"/>
        <w:tblW w:w="0" w:type="auto"/>
        <w:tblLook w:val="04A0" w:firstRow="1" w:lastRow="0" w:firstColumn="1" w:lastColumn="0" w:noHBand="0" w:noVBand="1"/>
      </w:tblPr>
      <w:tblGrid>
        <w:gridCol w:w="1415"/>
        <w:gridCol w:w="1314"/>
        <w:gridCol w:w="1300"/>
        <w:gridCol w:w="1870"/>
        <w:gridCol w:w="1420"/>
        <w:gridCol w:w="1697"/>
      </w:tblGrid>
      <w:tr w:rsidR="003E236E" w:rsidRPr="003E236E" w14:paraId="4E77C3E9" w14:textId="77777777" w:rsidTr="003E236E">
        <w:tc>
          <w:tcPr>
            <w:tcW w:w="0" w:type="auto"/>
            <w:hideMark/>
          </w:tcPr>
          <w:p w14:paraId="5DD68FD2" w14:textId="77777777" w:rsidR="003E236E" w:rsidRPr="003E236E" w:rsidRDefault="003E236E" w:rsidP="003E236E">
            <w:pPr>
              <w:spacing w:after="160" w:line="278" w:lineRule="auto"/>
              <w:rPr>
                <w:rFonts w:ascii="Arial" w:hAnsi="Arial" w:cs="Arial"/>
                <w:b/>
                <w:bCs/>
                <w:sz w:val="18"/>
                <w:szCs w:val="18"/>
              </w:rPr>
            </w:pPr>
            <w:r w:rsidRPr="003E236E">
              <w:rPr>
                <w:rFonts w:ascii="Arial" w:hAnsi="Arial" w:cs="Arial"/>
                <w:b/>
                <w:bCs/>
                <w:sz w:val="18"/>
                <w:szCs w:val="18"/>
              </w:rPr>
              <w:t>Study</w:t>
            </w:r>
          </w:p>
        </w:tc>
        <w:tc>
          <w:tcPr>
            <w:tcW w:w="0" w:type="auto"/>
            <w:hideMark/>
          </w:tcPr>
          <w:p w14:paraId="0B5861AE" w14:textId="77777777" w:rsidR="003E236E" w:rsidRPr="003E236E" w:rsidRDefault="003E236E" w:rsidP="003E236E">
            <w:pPr>
              <w:spacing w:after="160" w:line="278" w:lineRule="auto"/>
              <w:rPr>
                <w:rFonts w:ascii="Arial" w:hAnsi="Arial" w:cs="Arial"/>
                <w:b/>
                <w:bCs/>
                <w:sz w:val="18"/>
                <w:szCs w:val="18"/>
              </w:rPr>
            </w:pPr>
            <w:r w:rsidRPr="003E236E">
              <w:rPr>
                <w:rFonts w:ascii="Arial" w:hAnsi="Arial" w:cs="Arial"/>
                <w:b/>
                <w:bCs/>
                <w:sz w:val="18"/>
                <w:szCs w:val="18"/>
              </w:rPr>
              <w:t>Type</w:t>
            </w:r>
          </w:p>
        </w:tc>
        <w:tc>
          <w:tcPr>
            <w:tcW w:w="0" w:type="auto"/>
            <w:hideMark/>
          </w:tcPr>
          <w:p w14:paraId="58A80363" w14:textId="77777777" w:rsidR="003E236E" w:rsidRPr="003E236E" w:rsidRDefault="003E236E" w:rsidP="003E236E">
            <w:pPr>
              <w:spacing w:after="160" w:line="278" w:lineRule="auto"/>
              <w:rPr>
                <w:rFonts w:ascii="Arial" w:hAnsi="Arial" w:cs="Arial"/>
                <w:b/>
                <w:bCs/>
                <w:sz w:val="18"/>
                <w:szCs w:val="18"/>
              </w:rPr>
            </w:pPr>
            <w:r w:rsidRPr="003E236E">
              <w:rPr>
                <w:rFonts w:ascii="Arial" w:hAnsi="Arial" w:cs="Arial"/>
                <w:b/>
                <w:bCs/>
                <w:sz w:val="18"/>
                <w:szCs w:val="18"/>
              </w:rPr>
              <w:t>Country / Setting</w:t>
            </w:r>
          </w:p>
        </w:tc>
        <w:tc>
          <w:tcPr>
            <w:tcW w:w="0" w:type="auto"/>
            <w:hideMark/>
          </w:tcPr>
          <w:p w14:paraId="4096C920" w14:textId="77777777" w:rsidR="003E236E" w:rsidRPr="003E236E" w:rsidRDefault="003E236E" w:rsidP="003E236E">
            <w:pPr>
              <w:spacing w:after="160" w:line="278" w:lineRule="auto"/>
              <w:rPr>
                <w:rFonts w:ascii="Arial" w:hAnsi="Arial" w:cs="Arial"/>
                <w:b/>
                <w:bCs/>
                <w:sz w:val="18"/>
                <w:szCs w:val="18"/>
              </w:rPr>
            </w:pPr>
            <w:r w:rsidRPr="003E236E">
              <w:rPr>
                <w:rFonts w:ascii="Arial" w:hAnsi="Arial" w:cs="Arial"/>
                <w:b/>
                <w:bCs/>
                <w:sz w:val="18"/>
                <w:szCs w:val="18"/>
              </w:rPr>
              <w:t>Approximate EIR range (infectious bites/person/year)</w:t>
            </w:r>
          </w:p>
        </w:tc>
        <w:tc>
          <w:tcPr>
            <w:tcW w:w="0" w:type="auto"/>
            <w:hideMark/>
          </w:tcPr>
          <w:p w14:paraId="73AEBA7F" w14:textId="77777777" w:rsidR="003E236E" w:rsidRPr="003E236E" w:rsidRDefault="003E236E" w:rsidP="003E236E">
            <w:pPr>
              <w:spacing w:after="160" w:line="278" w:lineRule="auto"/>
              <w:rPr>
                <w:rFonts w:ascii="Arial" w:hAnsi="Arial" w:cs="Arial"/>
                <w:b/>
                <w:bCs/>
                <w:sz w:val="18"/>
                <w:szCs w:val="18"/>
              </w:rPr>
            </w:pPr>
            <w:r w:rsidRPr="003E236E">
              <w:rPr>
                <w:rFonts w:ascii="Arial" w:hAnsi="Arial" w:cs="Arial"/>
                <w:b/>
                <w:bCs/>
                <w:sz w:val="18"/>
                <w:szCs w:val="18"/>
              </w:rPr>
              <w:t>Context</w:t>
            </w:r>
          </w:p>
        </w:tc>
        <w:tc>
          <w:tcPr>
            <w:tcW w:w="0" w:type="auto"/>
            <w:hideMark/>
          </w:tcPr>
          <w:p w14:paraId="11358D3B" w14:textId="77777777" w:rsidR="003E236E" w:rsidRPr="003E236E" w:rsidRDefault="003E236E" w:rsidP="003E236E">
            <w:pPr>
              <w:spacing w:after="160" w:line="278" w:lineRule="auto"/>
              <w:rPr>
                <w:rFonts w:ascii="Arial" w:hAnsi="Arial" w:cs="Arial"/>
                <w:b/>
                <w:bCs/>
                <w:sz w:val="18"/>
                <w:szCs w:val="18"/>
              </w:rPr>
            </w:pPr>
            <w:r w:rsidRPr="003E236E">
              <w:rPr>
                <w:rFonts w:ascii="Arial" w:hAnsi="Arial" w:cs="Arial"/>
                <w:b/>
                <w:bCs/>
                <w:sz w:val="18"/>
                <w:szCs w:val="18"/>
              </w:rPr>
              <w:t>Key finding</w:t>
            </w:r>
          </w:p>
        </w:tc>
      </w:tr>
      <w:tr w:rsidR="003E236E" w:rsidRPr="003E236E" w14:paraId="04B82686" w14:textId="77777777" w:rsidTr="003E236E">
        <w:tc>
          <w:tcPr>
            <w:tcW w:w="0" w:type="auto"/>
            <w:hideMark/>
          </w:tcPr>
          <w:p w14:paraId="63A39351" w14:textId="77777777" w:rsidR="003E236E" w:rsidRPr="003E236E" w:rsidRDefault="003E236E" w:rsidP="003E236E">
            <w:pPr>
              <w:spacing w:after="160" w:line="278" w:lineRule="auto"/>
              <w:rPr>
                <w:rFonts w:ascii="Arial" w:hAnsi="Arial" w:cs="Arial"/>
                <w:sz w:val="18"/>
                <w:szCs w:val="18"/>
              </w:rPr>
            </w:pPr>
            <w:r w:rsidRPr="003E236E">
              <w:rPr>
                <w:rFonts w:ascii="Arial" w:hAnsi="Arial" w:cs="Arial"/>
                <w:sz w:val="18"/>
                <w:szCs w:val="18"/>
              </w:rPr>
              <w:t>Binka et al., 1996</w:t>
            </w:r>
          </w:p>
        </w:tc>
        <w:tc>
          <w:tcPr>
            <w:tcW w:w="0" w:type="auto"/>
            <w:hideMark/>
          </w:tcPr>
          <w:p w14:paraId="155763D1" w14:textId="77777777" w:rsidR="003E236E" w:rsidRPr="003E236E" w:rsidRDefault="003E236E" w:rsidP="003E236E">
            <w:pPr>
              <w:spacing w:after="160" w:line="278" w:lineRule="auto"/>
              <w:rPr>
                <w:rFonts w:ascii="Arial" w:hAnsi="Arial" w:cs="Arial"/>
                <w:sz w:val="18"/>
                <w:szCs w:val="18"/>
              </w:rPr>
            </w:pPr>
            <w:r w:rsidRPr="003E236E">
              <w:rPr>
                <w:rFonts w:ascii="Arial" w:hAnsi="Arial" w:cs="Arial"/>
                <w:sz w:val="18"/>
                <w:szCs w:val="18"/>
              </w:rPr>
              <w:t>Empirical trial</w:t>
            </w:r>
          </w:p>
        </w:tc>
        <w:tc>
          <w:tcPr>
            <w:tcW w:w="0" w:type="auto"/>
            <w:hideMark/>
          </w:tcPr>
          <w:p w14:paraId="549D1726" w14:textId="77777777" w:rsidR="003E236E" w:rsidRPr="003E236E" w:rsidRDefault="003E236E" w:rsidP="003E236E">
            <w:pPr>
              <w:spacing w:after="160" w:line="278" w:lineRule="auto"/>
              <w:rPr>
                <w:rFonts w:ascii="Arial" w:hAnsi="Arial" w:cs="Arial"/>
                <w:sz w:val="18"/>
                <w:szCs w:val="18"/>
              </w:rPr>
            </w:pPr>
            <w:r w:rsidRPr="003E236E">
              <w:rPr>
                <w:rFonts w:ascii="Arial" w:hAnsi="Arial" w:cs="Arial"/>
                <w:sz w:val="18"/>
                <w:szCs w:val="18"/>
              </w:rPr>
              <w:t>Northern Ghana</w:t>
            </w:r>
          </w:p>
        </w:tc>
        <w:tc>
          <w:tcPr>
            <w:tcW w:w="0" w:type="auto"/>
            <w:hideMark/>
          </w:tcPr>
          <w:p w14:paraId="298DFEEC" w14:textId="77777777" w:rsidR="003E236E" w:rsidRPr="003E236E" w:rsidRDefault="003E236E" w:rsidP="003E236E">
            <w:pPr>
              <w:spacing w:after="160" w:line="278" w:lineRule="auto"/>
              <w:rPr>
                <w:rFonts w:ascii="Arial" w:hAnsi="Arial" w:cs="Arial"/>
                <w:sz w:val="18"/>
                <w:szCs w:val="18"/>
              </w:rPr>
            </w:pPr>
            <w:r w:rsidRPr="003E236E">
              <w:rPr>
                <w:rFonts w:ascii="Arial" w:hAnsi="Arial" w:cs="Arial"/>
                <w:b/>
                <w:bCs/>
                <w:sz w:val="18"/>
                <w:szCs w:val="18"/>
              </w:rPr>
              <w:t>100–300 EIR</w:t>
            </w:r>
          </w:p>
        </w:tc>
        <w:tc>
          <w:tcPr>
            <w:tcW w:w="0" w:type="auto"/>
            <w:hideMark/>
          </w:tcPr>
          <w:p w14:paraId="47796FB6" w14:textId="77777777" w:rsidR="003E236E" w:rsidRPr="003E236E" w:rsidRDefault="003E236E" w:rsidP="003E236E">
            <w:pPr>
              <w:spacing w:after="160" w:line="278" w:lineRule="auto"/>
              <w:rPr>
                <w:rFonts w:ascii="Arial" w:hAnsi="Arial" w:cs="Arial"/>
                <w:sz w:val="18"/>
                <w:szCs w:val="18"/>
              </w:rPr>
            </w:pPr>
            <w:r w:rsidRPr="003E236E">
              <w:rPr>
                <w:rFonts w:ascii="Arial" w:hAnsi="Arial" w:cs="Arial"/>
                <w:sz w:val="18"/>
                <w:szCs w:val="18"/>
              </w:rPr>
              <w:t>Randomized ITN trial in high-transmission savanna zone</w:t>
            </w:r>
          </w:p>
        </w:tc>
        <w:tc>
          <w:tcPr>
            <w:tcW w:w="0" w:type="auto"/>
            <w:hideMark/>
          </w:tcPr>
          <w:p w14:paraId="18BF7A01" w14:textId="77777777" w:rsidR="003E236E" w:rsidRPr="003E236E" w:rsidRDefault="003E236E" w:rsidP="003E236E">
            <w:pPr>
              <w:spacing w:after="160" w:line="278" w:lineRule="auto"/>
              <w:rPr>
                <w:rFonts w:ascii="Arial" w:hAnsi="Arial" w:cs="Arial"/>
                <w:sz w:val="18"/>
                <w:szCs w:val="18"/>
              </w:rPr>
            </w:pPr>
            <w:proofErr w:type="spellStart"/>
            <w:r w:rsidRPr="003E236E">
              <w:rPr>
                <w:rFonts w:ascii="Arial" w:hAnsi="Arial" w:cs="Arial"/>
                <w:sz w:val="18"/>
                <w:szCs w:val="18"/>
              </w:rPr>
              <w:t>ITNs</w:t>
            </w:r>
            <w:proofErr w:type="spellEnd"/>
            <w:r w:rsidRPr="003E236E">
              <w:rPr>
                <w:rFonts w:ascii="Arial" w:hAnsi="Arial" w:cs="Arial"/>
                <w:sz w:val="18"/>
                <w:szCs w:val="18"/>
              </w:rPr>
              <w:t xml:space="preserve"> reduced child mortality and malaria transmission; strong direct protection, with </w:t>
            </w:r>
            <w:r w:rsidRPr="003E236E">
              <w:rPr>
                <w:rFonts w:ascii="Arial" w:hAnsi="Arial" w:cs="Arial"/>
                <w:sz w:val="18"/>
                <w:szCs w:val="18"/>
                <w:highlight w:val="yellow"/>
              </w:rPr>
              <w:t>modest community effects in extremely high transmission</w:t>
            </w:r>
            <w:r w:rsidRPr="003E236E">
              <w:rPr>
                <w:rFonts w:ascii="Arial" w:hAnsi="Arial" w:cs="Arial"/>
                <w:sz w:val="18"/>
                <w:szCs w:val="18"/>
              </w:rPr>
              <w:t>.</w:t>
            </w:r>
          </w:p>
        </w:tc>
      </w:tr>
      <w:tr w:rsidR="003E236E" w:rsidRPr="003E236E" w14:paraId="1BBA2981" w14:textId="77777777" w:rsidTr="003E236E">
        <w:tc>
          <w:tcPr>
            <w:tcW w:w="0" w:type="auto"/>
            <w:hideMark/>
          </w:tcPr>
          <w:p w14:paraId="27AA91F6" w14:textId="77777777" w:rsidR="003E236E" w:rsidRPr="003E236E" w:rsidRDefault="003E236E" w:rsidP="003E236E">
            <w:pPr>
              <w:spacing w:after="160" w:line="278" w:lineRule="auto"/>
              <w:rPr>
                <w:rFonts w:ascii="Arial" w:hAnsi="Arial" w:cs="Arial"/>
                <w:sz w:val="18"/>
                <w:szCs w:val="18"/>
              </w:rPr>
            </w:pPr>
            <w:r w:rsidRPr="003E236E">
              <w:rPr>
                <w:rFonts w:ascii="Arial" w:hAnsi="Arial" w:cs="Arial"/>
                <w:sz w:val="18"/>
                <w:szCs w:val="18"/>
              </w:rPr>
              <w:t>Hawley et al., 2003</w:t>
            </w:r>
          </w:p>
        </w:tc>
        <w:tc>
          <w:tcPr>
            <w:tcW w:w="0" w:type="auto"/>
            <w:hideMark/>
          </w:tcPr>
          <w:p w14:paraId="55AE5572" w14:textId="77777777" w:rsidR="003E236E" w:rsidRPr="003E236E" w:rsidRDefault="003E236E" w:rsidP="003E236E">
            <w:pPr>
              <w:spacing w:after="160" w:line="278" w:lineRule="auto"/>
              <w:rPr>
                <w:rFonts w:ascii="Arial" w:hAnsi="Arial" w:cs="Arial"/>
                <w:sz w:val="18"/>
                <w:szCs w:val="18"/>
              </w:rPr>
            </w:pPr>
            <w:r w:rsidRPr="003E236E">
              <w:rPr>
                <w:rFonts w:ascii="Arial" w:hAnsi="Arial" w:cs="Arial"/>
                <w:sz w:val="18"/>
                <w:szCs w:val="18"/>
              </w:rPr>
              <w:t>Empirical trial</w:t>
            </w:r>
          </w:p>
        </w:tc>
        <w:tc>
          <w:tcPr>
            <w:tcW w:w="0" w:type="auto"/>
            <w:hideMark/>
          </w:tcPr>
          <w:p w14:paraId="1C10D068" w14:textId="77777777" w:rsidR="003E236E" w:rsidRPr="003E236E" w:rsidRDefault="003E236E" w:rsidP="003E236E">
            <w:pPr>
              <w:spacing w:after="160" w:line="278" w:lineRule="auto"/>
              <w:rPr>
                <w:rFonts w:ascii="Arial" w:hAnsi="Arial" w:cs="Arial"/>
                <w:sz w:val="18"/>
                <w:szCs w:val="18"/>
              </w:rPr>
            </w:pPr>
            <w:r w:rsidRPr="003E236E">
              <w:rPr>
                <w:rFonts w:ascii="Arial" w:hAnsi="Arial" w:cs="Arial"/>
                <w:sz w:val="18"/>
                <w:szCs w:val="18"/>
              </w:rPr>
              <w:t>Western Kenya</w:t>
            </w:r>
          </w:p>
        </w:tc>
        <w:tc>
          <w:tcPr>
            <w:tcW w:w="0" w:type="auto"/>
            <w:hideMark/>
          </w:tcPr>
          <w:p w14:paraId="4C17DF07" w14:textId="77777777" w:rsidR="003E236E" w:rsidRPr="003E236E" w:rsidRDefault="003E236E" w:rsidP="003E236E">
            <w:pPr>
              <w:spacing w:after="160" w:line="278" w:lineRule="auto"/>
              <w:rPr>
                <w:rFonts w:ascii="Arial" w:hAnsi="Arial" w:cs="Arial"/>
                <w:sz w:val="18"/>
                <w:szCs w:val="18"/>
              </w:rPr>
            </w:pPr>
            <w:r w:rsidRPr="003E236E">
              <w:rPr>
                <w:rFonts w:ascii="Arial" w:hAnsi="Arial" w:cs="Arial"/>
                <w:b/>
                <w:bCs/>
                <w:sz w:val="18"/>
                <w:szCs w:val="18"/>
              </w:rPr>
              <w:t>30–60 EIR</w:t>
            </w:r>
            <w:r w:rsidRPr="003E236E">
              <w:rPr>
                <w:rFonts w:ascii="Arial" w:hAnsi="Arial" w:cs="Arial"/>
                <w:sz w:val="18"/>
                <w:szCs w:val="18"/>
              </w:rPr>
              <w:t xml:space="preserve"> (mean ≈60)</w:t>
            </w:r>
          </w:p>
        </w:tc>
        <w:tc>
          <w:tcPr>
            <w:tcW w:w="0" w:type="auto"/>
            <w:hideMark/>
          </w:tcPr>
          <w:p w14:paraId="4AD3E0B1" w14:textId="77777777" w:rsidR="003E236E" w:rsidRPr="003E236E" w:rsidRDefault="003E236E" w:rsidP="003E236E">
            <w:pPr>
              <w:spacing w:after="160" w:line="278" w:lineRule="auto"/>
              <w:rPr>
                <w:rFonts w:ascii="Arial" w:hAnsi="Arial" w:cs="Arial"/>
                <w:sz w:val="18"/>
                <w:szCs w:val="18"/>
              </w:rPr>
            </w:pPr>
            <w:r w:rsidRPr="003E236E">
              <w:rPr>
                <w:rFonts w:ascii="Arial" w:hAnsi="Arial" w:cs="Arial"/>
                <w:sz w:val="18"/>
                <w:szCs w:val="18"/>
              </w:rPr>
              <w:t>Cluster-randomized ITN trial</w:t>
            </w:r>
          </w:p>
        </w:tc>
        <w:tc>
          <w:tcPr>
            <w:tcW w:w="0" w:type="auto"/>
            <w:hideMark/>
          </w:tcPr>
          <w:p w14:paraId="3D5FB547" w14:textId="77777777" w:rsidR="003E236E" w:rsidRPr="003E236E" w:rsidRDefault="003E236E" w:rsidP="003E236E">
            <w:pPr>
              <w:spacing w:after="160" w:line="278" w:lineRule="auto"/>
              <w:rPr>
                <w:rFonts w:ascii="Arial" w:hAnsi="Arial" w:cs="Arial"/>
                <w:sz w:val="18"/>
                <w:szCs w:val="18"/>
              </w:rPr>
            </w:pPr>
            <w:r w:rsidRPr="003E236E">
              <w:rPr>
                <w:rFonts w:ascii="Arial" w:hAnsi="Arial" w:cs="Arial"/>
                <w:sz w:val="18"/>
                <w:szCs w:val="18"/>
              </w:rPr>
              <w:t xml:space="preserve">Demonstrated protection among both users and non-users, showing </w:t>
            </w:r>
            <w:r w:rsidRPr="003E236E">
              <w:rPr>
                <w:rFonts w:ascii="Arial" w:hAnsi="Arial" w:cs="Arial"/>
                <w:sz w:val="18"/>
                <w:szCs w:val="18"/>
                <w:highlight w:val="yellow"/>
              </w:rPr>
              <w:t>clear community protection that increases with coverage</w:t>
            </w:r>
            <w:r w:rsidRPr="003E236E">
              <w:rPr>
                <w:rFonts w:ascii="Arial" w:hAnsi="Arial" w:cs="Arial"/>
                <w:sz w:val="18"/>
                <w:szCs w:val="18"/>
              </w:rPr>
              <w:t>.</w:t>
            </w:r>
          </w:p>
        </w:tc>
      </w:tr>
      <w:tr w:rsidR="003E236E" w:rsidRPr="003E236E" w14:paraId="1B8D3C46" w14:textId="77777777" w:rsidTr="003E236E">
        <w:tc>
          <w:tcPr>
            <w:tcW w:w="0" w:type="auto"/>
            <w:hideMark/>
          </w:tcPr>
          <w:p w14:paraId="4FD702FE" w14:textId="77777777" w:rsidR="003E236E" w:rsidRPr="003E236E" w:rsidRDefault="003E236E" w:rsidP="003E236E">
            <w:pPr>
              <w:spacing w:after="160" w:line="278" w:lineRule="auto"/>
              <w:rPr>
                <w:rFonts w:ascii="Arial" w:hAnsi="Arial" w:cs="Arial"/>
                <w:sz w:val="18"/>
                <w:szCs w:val="18"/>
              </w:rPr>
            </w:pPr>
            <w:proofErr w:type="spellStart"/>
            <w:r w:rsidRPr="003E236E">
              <w:rPr>
                <w:rFonts w:ascii="Arial" w:hAnsi="Arial" w:cs="Arial"/>
                <w:sz w:val="18"/>
                <w:szCs w:val="18"/>
              </w:rPr>
              <w:t>Protopopoff</w:t>
            </w:r>
            <w:proofErr w:type="spellEnd"/>
            <w:r w:rsidRPr="003E236E">
              <w:rPr>
                <w:rFonts w:ascii="Arial" w:hAnsi="Arial" w:cs="Arial"/>
                <w:sz w:val="18"/>
                <w:szCs w:val="18"/>
              </w:rPr>
              <w:t xml:space="preserve"> et al., 2018–2022</w:t>
            </w:r>
          </w:p>
        </w:tc>
        <w:tc>
          <w:tcPr>
            <w:tcW w:w="0" w:type="auto"/>
            <w:hideMark/>
          </w:tcPr>
          <w:p w14:paraId="069AAEE8" w14:textId="77777777" w:rsidR="003E236E" w:rsidRPr="003E236E" w:rsidRDefault="003E236E" w:rsidP="003E236E">
            <w:pPr>
              <w:spacing w:after="160" w:line="278" w:lineRule="auto"/>
              <w:rPr>
                <w:rFonts w:ascii="Arial" w:hAnsi="Arial" w:cs="Arial"/>
                <w:sz w:val="18"/>
                <w:szCs w:val="18"/>
              </w:rPr>
            </w:pPr>
            <w:r w:rsidRPr="003E236E">
              <w:rPr>
                <w:rFonts w:ascii="Arial" w:hAnsi="Arial" w:cs="Arial"/>
                <w:sz w:val="18"/>
                <w:szCs w:val="18"/>
              </w:rPr>
              <w:t>Empirical CRT</w:t>
            </w:r>
          </w:p>
        </w:tc>
        <w:tc>
          <w:tcPr>
            <w:tcW w:w="0" w:type="auto"/>
            <w:hideMark/>
          </w:tcPr>
          <w:p w14:paraId="7734AB95" w14:textId="77777777" w:rsidR="003E236E" w:rsidRPr="003E236E" w:rsidRDefault="003E236E" w:rsidP="003E236E">
            <w:pPr>
              <w:spacing w:after="160" w:line="278" w:lineRule="auto"/>
              <w:rPr>
                <w:rFonts w:ascii="Arial" w:hAnsi="Arial" w:cs="Arial"/>
                <w:sz w:val="18"/>
                <w:szCs w:val="18"/>
              </w:rPr>
            </w:pPr>
            <w:r w:rsidRPr="003E236E">
              <w:rPr>
                <w:rFonts w:ascii="Arial" w:hAnsi="Arial" w:cs="Arial"/>
                <w:sz w:val="18"/>
                <w:szCs w:val="18"/>
              </w:rPr>
              <w:t>Tanzania</w:t>
            </w:r>
          </w:p>
        </w:tc>
        <w:tc>
          <w:tcPr>
            <w:tcW w:w="0" w:type="auto"/>
            <w:hideMark/>
          </w:tcPr>
          <w:p w14:paraId="3AA760E6" w14:textId="77777777" w:rsidR="003E236E" w:rsidRPr="003E236E" w:rsidRDefault="003E236E" w:rsidP="003E236E">
            <w:pPr>
              <w:spacing w:after="160" w:line="278" w:lineRule="auto"/>
              <w:rPr>
                <w:rFonts w:ascii="Arial" w:hAnsi="Arial" w:cs="Arial"/>
                <w:sz w:val="18"/>
                <w:szCs w:val="18"/>
              </w:rPr>
            </w:pPr>
            <w:r w:rsidRPr="003E236E">
              <w:rPr>
                <w:rFonts w:ascii="Arial" w:hAnsi="Arial" w:cs="Arial"/>
                <w:b/>
                <w:bCs/>
                <w:sz w:val="18"/>
                <w:szCs w:val="18"/>
              </w:rPr>
              <w:t>10–50 EIR</w:t>
            </w:r>
            <w:r w:rsidRPr="003E236E">
              <w:rPr>
                <w:rFonts w:ascii="Arial" w:hAnsi="Arial" w:cs="Arial"/>
                <w:sz w:val="18"/>
                <w:szCs w:val="18"/>
              </w:rPr>
              <w:t xml:space="preserve"> estimated</w:t>
            </w:r>
          </w:p>
        </w:tc>
        <w:tc>
          <w:tcPr>
            <w:tcW w:w="0" w:type="auto"/>
            <w:hideMark/>
          </w:tcPr>
          <w:p w14:paraId="423D3571" w14:textId="77777777" w:rsidR="003E236E" w:rsidRPr="003E236E" w:rsidRDefault="003E236E" w:rsidP="003E236E">
            <w:pPr>
              <w:spacing w:after="160" w:line="278" w:lineRule="auto"/>
              <w:rPr>
                <w:rFonts w:ascii="Arial" w:hAnsi="Arial" w:cs="Arial"/>
                <w:sz w:val="18"/>
                <w:szCs w:val="18"/>
              </w:rPr>
            </w:pPr>
            <w:r w:rsidRPr="003E236E">
              <w:rPr>
                <w:rFonts w:ascii="Arial" w:hAnsi="Arial" w:cs="Arial"/>
                <w:sz w:val="18"/>
                <w:szCs w:val="18"/>
              </w:rPr>
              <w:t>Trial of PBO-pyrethroid nets in insecticide-resistant areas</w:t>
            </w:r>
          </w:p>
        </w:tc>
        <w:tc>
          <w:tcPr>
            <w:tcW w:w="0" w:type="auto"/>
            <w:hideMark/>
          </w:tcPr>
          <w:p w14:paraId="4137FA61" w14:textId="77777777" w:rsidR="003E236E" w:rsidRPr="003E236E" w:rsidRDefault="003E236E" w:rsidP="003E236E">
            <w:pPr>
              <w:spacing w:after="160" w:line="278" w:lineRule="auto"/>
              <w:rPr>
                <w:rFonts w:ascii="Arial" w:hAnsi="Arial" w:cs="Arial"/>
                <w:sz w:val="18"/>
                <w:szCs w:val="18"/>
              </w:rPr>
            </w:pPr>
            <w:r w:rsidRPr="003E236E">
              <w:rPr>
                <w:rFonts w:ascii="Arial" w:hAnsi="Arial" w:cs="Arial"/>
                <w:sz w:val="18"/>
                <w:szCs w:val="18"/>
              </w:rPr>
              <w:t>Next-generation nets significantly reduced malaria prevalence and vector density.</w:t>
            </w:r>
          </w:p>
        </w:tc>
      </w:tr>
      <w:tr w:rsidR="003E236E" w:rsidRPr="003E236E" w14:paraId="13CD4C69" w14:textId="77777777" w:rsidTr="003E236E">
        <w:tc>
          <w:tcPr>
            <w:tcW w:w="0" w:type="auto"/>
            <w:hideMark/>
          </w:tcPr>
          <w:p w14:paraId="144E0586" w14:textId="77777777" w:rsidR="003E236E" w:rsidRPr="003E236E" w:rsidRDefault="003E236E" w:rsidP="003E236E">
            <w:pPr>
              <w:spacing w:after="160" w:line="278" w:lineRule="auto"/>
              <w:rPr>
                <w:rFonts w:ascii="Arial" w:hAnsi="Arial" w:cs="Arial"/>
                <w:sz w:val="18"/>
                <w:szCs w:val="18"/>
              </w:rPr>
            </w:pPr>
            <w:proofErr w:type="spellStart"/>
            <w:r w:rsidRPr="003E236E">
              <w:rPr>
                <w:rFonts w:ascii="Arial" w:hAnsi="Arial" w:cs="Arial"/>
                <w:sz w:val="18"/>
                <w:szCs w:val="18"/>
              </w:rPr>
              <w:t>Accrombessi</w:t>
            </w:r>
            <w:proofErr w:type="spellEnd"/>
            <w:r w:rsidRPr="003E236E">
              <w:rPr>
                <w:rFonts w:ascii="Arial" w:hAnsi="Arial" w:cs="Arial"/>
                <w:sz w:val="18"/>
                <w:szCs w:val="18"/>
              </w:rPr>
              <w:t xml:space="preserve"> et al., 2023</w:t>
            </w:r>
          </w:p>
        </w:tc>
        <w:tc>
          <w:tcPr>
            <w:tcW w:w="0" w:type="auto"/>
            <w:hideMark/>
          </w:tcPr>
          <w:p w14:paraId="1036B315" w14:textId="77777777" w:rsidR="003E236E" w:rsidRPr="003E236E" w:rsidRDefault="003E236E" w:rsidP="003E236E">
            <w:pPr>
              <w:spacing w:after="160" w:line="278" w:lineRule="auto"/>
              <w:rPr>
                <w:rFonts w:ascii="Arial" w:hAnsi="Arial" w:cs="Arial"/>
                <w:sz w:val="18"/>
                <w:szCs w:val="18"/>
              </w:rPr>
            </w:pPr>
            <w:r w:rsidRPr="003E236E">
              <w:rPr>
                <w:rFonts w:ascii="Arial" w:hAnsi="Arial" w:cs="Arial"/>
                <w:sz w:val="18"/>
                <w:szCs w:val="18"/>
              </w:rPr>
              <w:t>Empirical CRT</w:t>
            </w:r>
          </w:p>
        </w:tc>
        <w:tc>
          <w:tcPr>
            <w:tcW w:w="0" w:type="auto"/>
            <w:hideMark/>
          </w:tcPr>
          <w:p w14:paraId="1D80F875" w14:textId="77777777" w:rsidR="003E236E" w:rsidRPr="003E236E" w:rsidRDefault="003E236E" w:rsidP="003E236E">
            <w:pPr>
              <w:spacing w:after="160" w:line="278" w:lineRule="auto"/>
              <w:rPr>
                <w:rFonts w:ascii="Arial" w:hAnsi="Arial" w:cs="Arial"/>
                <w:sz w:val="18"/>
                <w:szCs w:val="18"/>
              </w:rPr>
            </w:pPr>
            <w:r w:rsidRPr="003E236E">
              <w:rPr>
                <w:rFonts w:ascii="Arial" w:hAnsi="Arial" w:cs="Arial"/>
                <w:sz w:val="18"/>
                <w:szCs w:val="18"/>
              </w:rPr>
              <w:t>Benin</w:t>
            </w:r>
          </w:p>
        </w:tc>
        <w:tc>
          <w:tcPr>
            <w:tcW w:w="0" w:type="auto"/>
            <w:hideMark/>
          </w:tcPr>
          <w:p w14:paraId="77C87372" w14:textId="77777777" w:rsidR="003E236E" w:rsidRPr="003E236E" w:rsidRDefault="003E236E" w:rsidP="003E236E">
            <w:pPr>
              <w:spacing w:after="160" w:line="278" w:lineRule="auto"/>
              <w:rPr>
                <w:rFonts w:ascii="Arial" w:hAnsi="Arial" w:cs="Arial"/>
                <w:sz w:val="18"/>
                <w:szCs w:val="18"/>
              </w:rPr>
            </w:pPr>
            <w:r w:rsidRPr="003E236E">
              <w:rPr>
                <w:rFonts w:ascii="Arial" w:hAnsi="Arial" w:cs="Arial"/>
                <w:b/>
                <w:bCs/>
                <w:sz w:val="18"/>
                <w:szCs w:val="18"/>
              </w:rPr>
              <w:t>50–150 EIR</w:t>
            </w:r>
          </w:p>
        </w:tc>
        <w:tc>
          <w:tcPr>
            <w:tcW w:w="0" w:type="auto"/>
            <w:hideMark/>
          </w:tcPr>
          <w:p w14:paraId="6001DF89" w14:textId="77777777" w:rsidR="003E236E" w:rsidRPr="003E236E" w:rsidRDefault="003E236E" w:rsidP="003E236E">
            <w:pPr>
              <w:spacing w:after="160" w:line="278" w:lineRule="auto"/>
              <w:rPr>
                <w:rFonts w:ascii="Arial" w:hAnsi="Arial" w:cs="Arial"/>
                <w:sz w:val="18"/>
                <w:szCs w:val="18"/>
              </w:rPr>
            </w:pPr>
            <w:r w:rsidRPr="003E236E">
              <w:rPr>
                <w:rFonts w:ascii="Arial" w:hAnsi="Arial" w:cs="Arial"/>
                <w:sz w:val="18"/>
                <w:szCs w:val="18"/>
              </w:rPr>
              <w:t xml:space="preserve">Trial of </w:t>
            </w:r>
            <w:proofErr w:type="spellStart"/>
            <w:r w:rsidRPr="003E236E">
              <w:rPr>
                <w:rFonts w:ascii="Arial" w:hAnsi="Arial" w:cs="Arial"/>
                <w:sz w:val="18"/>
                <w:szCs w:val="18"/>
              </w:rPr>
              <w:t>chlorfenapyr</w:t>
            </w:r>
            <w:proofErr w:type="spellEnd"/>
            <w:r w:rsidRPr="003E236E">
              <w:rPr>
                <w:rFonts w:ascii="Arial" w:hAnsi="Arial" w:cs="Arial"/>
                <w:sz w:val="18"/>
                <w:szCs w:val="18"/>
              </w:rPr>
              <w:t>-pyrethroid nets</w:t>
            </w:r>
          </w:p>
        </w:tc>
        <w:tc>
          <w:tcPr>
            <w:tcW w:w="0" w:type="auto"/>
            <w:hideMark/>
          </w:tcPr>
          <w:p w14:paraId="42E9862D" w14:textId="77777777" w:rsidR="003E236E" w:rsidRPr="003E236E" w:rsidRDefault="003E236E" w:rsidP="003E236E">
            <w:pPr>
              <w:spacing w:after="160" w:line="278" w:lineRule="auto"/>
              <w:rPr>
                <w:rFonts w:ascii="Arial" w:hAnsi="Arial" w:cs="Arial"/>
                <w:sz w:val="18"/>
                <w:szCs w:val="18"/>
              </w:rPr>
            </w:pPr>
            <w:r w:rsidRPr="003E236E">
              <w:rPr>
                <w:rFonts w:ascii="Arial" w:hAnsi="Arial" w:cs="Arial"/>
                <w:sz w:val="18"/>
                <w:szCs w:val="18"/>
              </w:rPr>
              <w:t xml:space="preserve">Dual-ingredient nets provided improved protection compared with standard </w:t>
            </w:r>
            <w:proofErr w:type="spellStart"/>
            <w:r w:rsidRPr="003E236E">
              <w:rPr>
                <w:rFonts w:ascii="Arial" w:hAnsi="Arial" w:cs="Arial"/>
                <w:sz w:val="18"/>
                <w:szCs w:val="18"/>
              </w:rPr>
              <w:t>LLINs</w:t>
            </w:r>
            <w:proofErr w:type="spellEnd"/>
            <w:r w:rsidRPr="003E236E">
              <w:rPr>
                <w:rFonts w:ascii="Arial" w:hAnsi="Arial" w:cs="Arial"/>
                <w:sz w:val="18"/>
                <w:szCs w:val="18"/>
              </w:rPr>
              <w:t>.</w:t>
            </w:r>
          </w:p>
        </w:tc>
      </w:tr>
      <w:tr w:rsidR="003E236E" w:rsidRPr="003E236E" w14:paraId="73D12029" w14:textId="77777777" w:rsidTr="003E236E">
        <w:tc>
          <w:tcPr>
            <w:tcW w:w="0" w:type="auto"/>
            <w:hideMark/>
          </w:tcPr>
          <w:p w14:paraId="45F90660" w14:textId="77777777" w:rsidR="003E236E" w:rsidRPr="003E236E" w:rsidRDefault="003E236E" w:rsidP="003E236E">
            <w:pPr>
              <w:spacing w:after="160" w:line="278" w:lineRule="auto"/>
              <w:rPr>
                <w:rFonts w:ascii="Arial" w:hAnsi="Arial" w:cs="Arial"/>
                <w:sz w:val="18"/>
                <w:szCs w:val="18"/>
              </w:rPr>
            </w:pPr>
            <w:r w:rsidRPr="003E236E">
              <w:rPr>
                <w:rFonts w:ascii="Arial" w:hAnsi="Arial" w:cs="Arial"/>
                <w:sz w:val="18"/>
                <w:szCs w:val="18"/>
              </w:rPr>
              <w:t>Mosha et al., 2022</w:t>
            </w:r>
          </w:p>
        </w:tc>
        <w:tc>
          <w:tcPr>
            <w:tcW w:w="0" w:type="auto"/>
            <w:hideMark/>
          </w:tcPr>
          <w:p w14:paraId="7D766D7C" w14:textId="77777777" w:rsidR="003E236E" w:rsidRPr="003E236E" w:rsidRDefault="003E236E" w:rsidP="003E236E">
            <w:pPr>
              <w:spacing w:after="160" w:line="278" w:lineRule="auto"/>
              <w:rPr>
                <w:rFonts w:ascii="Arial" w:hAnsi="Arial" w:cs="Arial"/>
                <w:sz w:val="18"/>
                <w:szCs w:val="18"/>
              </w:rPr>
            </w:pPr>
            <w:r w:rsidRPr="003E236E">
              <w:rPr>
                <w:rFonts w:ascii="Arial" w:hAnsi="Arial" w:cs="Arial"/>
                <w:sz w:val="18"/>
                <w:szCs w:val="18"/>
              </w:rPr>
              <w:t>Empirical CRT</w:t>
            </w:r>
          </w:p>
        </w:tc>
        <w:tc>
          <w:tcPr>
            <w:tcW w:w="0" w:type="auto"/>
            <w:hideMark/>
          </w:tcPr>
          <w:p w14:paraId="43531B5E" w14:textId="77777777" w:rsidR="003E236E" w:rsidRPr="003E236E" w:rsidRDefault="003E236E" w:rsidP="003E236E">
            <w:pPr>
              <w:spacing w:after="160" w:line="278" w:lineRule="auto"/>
              <w:rPr>
                <w:rFonts w:ascii="Arial" w:hAnsi="Arial" w:cs="Arial"/>
                <w:sz w:val="18"/>
                <w:szCs w:val="18"/>
              </w:rPr>
            </w:pPr>
            <w:r w:rsidRPr="003E236E">
              <w:rPr>
                <w:rFonts w:ascii="Arial" w:hAnsi="Arial" w:cs="Arial"/>
                <w:sz w:val="18"/>
                <w:szCs w:val="18"/>
              </w:rPr>
              <w:t>Tanzania</w:t>
            </w:r>
          </w:p>
        </w:tc>
        <w:tc>
          <w:tcPr>
            <w:tcW w:w="0" w:type="auto"/>
            <w:hideMark/>
          </w:tcPr>
          <w:p w14:paraId="664DBF96" w14:textId="77777777" w:rsidR="003E236E" w:rsidRPr="003E236E" w:rsidRDefault="003E236E" w:rsidP="003E236E">
            <w:pPr>
              <w:spacing w:after="160" w:line="278" w:lineRule="auto"/>
              <w:rPr>
                <w:rFonts w:ascii="Arial" w:hAnsi="Arial" w:cs="Arial"/>
                <w:sz w:val="18"/>
                <w:szCs w:val="18"/>
              </w:rPr>
            </w:pPr>
            <w:r w:rsidRPr="003E236E">
              <w:rPr>
                <w:rFonts w:ascii="Arial" w:hAnsi="Arial" w:cs="Arial"/>
                <w:b/>
                <w:bCs/>
                <w:sz w:val="18"/>
                <w:szCs w:val="18"/>
              </w:rPr>
              <w:t>20–80 EIR</w:t>
            </w:r>
          </w:p>
        </w:tc>
        <w:tc>
          <w:tcPr>
            <w:tcW w:w="0" w:type="auto"/>
            <w:hideMark/>
          </w:tcPr>
          <w:p w14:paraId="4FBBC08C" w14:textId="77777777" w:rsidR="003E236E" w:rsidRPr="003E236E" w:rsidRDefault="003E236E" w:rsidP="003E236E">
            <w:pPr>
              <w:spacing w:after="160" w:line="278" w:lineRule="auto"/>
              <w:rPr>
                <w:rFonts w:ascii="Arial" w:hAnsi="Arial" w:cs="Arial"/>
                <w:sz w:val="18"/>
                <w:szCs w:val="18"/>
              </w:rPr>
            </w:pPr>
            <w:r w:rsidRPr="003E236E">
              <w:rPr>
                <w:rFonts w:ascii="Arial" w:hAnsi="Arial" w:cs="Arial"/>
                <w:sz w:val="18"/>
                <w:szCs w:val="18"/>
              </w:rPr>
              <w:t>Evaluation of dual-active-ingredient nets</w:t>
            </w:r>
          </w:p>
        </w:tc>
        <w:tc>
          <w:tcPr>
            <w:tcW w:w="0" w:type="auto"/>
            <w:hideMark/>
          </w:tcPr>
          <w:p w14:paraId="70D699A4" w14:textId="77777777" w:rsidR="003E236E" w:rsidRPr="003E236E" w:rsidRDefault="003E236E" w:rsidP="003E236E">
            <w:pPr>
              <w:spacing w:after="160" w:line="278" w:lineRule="auto"/>
              <w:rPr>
                <w:rFonts w:ascii="Arial" w:hAnsi="Arial" w:cs="Arial"/>
                <w:sz w:val="18"/>
                <w:szCs w:val="18"/>
              </w:rPr>
            </w:pPr>
            <w:r w:rsidRPr="003E236E">
              <w:rPr>
                <w:rFonts w:ascii="Arial" w:hAnsi="Arial" w:cs="Arial"/>
                <w:sz w:val="18"/>
                <w:szCs w:val="18"/>
              </w:rPr>
              <w:t xml:space="preserve">Significant reductions in malaria incidence </w:t>
            </w:r>
            <w:r w:rsidRPr="003E236E">
              <w:rPr>
                <w:rFonts w:ascii="Arial" w:hAnsi="Arial" w:cs="Arial"/>
                <w:sz w:val="18"/>
                <w:szCs w:val="18"/>
              </w:rPr>
              <w:lastRenderedPageBreak/>
              <w:t xml:space="preserve">relative to standard </w:t>
            </w:r>
            <w:proofErr w:type="spellStart"/>
            <w:r w:rsidRPr="003E236E">
              <w:rPr>
                <w:rFonts w:ascii="Arial" w:hAnsi="Arial" w:cs="Arial"/>
                <w:sz w:val="18"/>
                <w:szCs w:val="18"/>
              </w:rPr>
              <w:t>LLINs</w:t>
            </w:r>
            <w:proofErr w:type="spellEnd"/>
            <w:r w:rsidRPr="003E236E">
              <w:rPr>
                <w:rFonts w:ascii="Arial" w:hAnsi="Arial" w:cs="Arial"/>
                <w:sz w:val="18"/>
                <w:szCs w:val="18"/>
              </w:rPr>
              <w:t>.</w:t>
            </w:r>
          </w:p>
        </w:tc>
      </w:tr>
      <w:tr w:rsidR="003E236E" w:rsidRPr="003E236E" w14:paraId="6C148F4A" w14:textId="77777777" w:rsidTr="003E236E">
        <w:tc>
          <w:tcPr>
            <w:tcW w:w="0" w:type="auto"/>
            <w:hideMark/>
          </w:tcPr>
          <w:p w14:paraId="38CBC134" w14:textId="77777777" w:rsidR="003E236E" w:rsidRPr="003E236E" w:rsidRDefault="003E236E" w:rsidP="003E236E">
            <w:pPr>
              <w:spacing w:after="160" w:line="278" w:lineRule="auto"/>
              <w:rPr>
                <w:rFonts w:ascii="Arial" w:hAnsi="Arial" w:cs="Arial"/>
                <w:sz w:val="18"/>
                <w:szCs w:val="18"/>
              </w:rPr>
            </w:pPr>
            <w:r w:rsidRPr="003E236E">
              <w:rPr>
                <w:rFonts w:ascii="Arial" w:hAnsi="Arial" w:cs="Arial"/>
                <w:sz w:val="18"/>
                <w:szCs w:val="18"/>
              </w:rPr>
              <w:lastRenderedPageBreak/>
              <w:t>Monroe et al., 2021</w:t>
            </w:r>
          </w:p>
        </w:tc>
        <w:tc>
          <w:tcPr>
            <w:tcW w:w="0" w:type="auto"/>
            <w:hideMark/>
          </w:tcPr>
          <w:p w14:paraId="7BBFA88D" w14:textId="77777777" w:rsidR="003E236E" w:rsidRPr="003E236E" w:rsidRDefault="003E236E" w:rsidP="003E236E">
            <w:pPr>
              <w:spacing w:after="160" w:line="278" w:lineRule="auto"/>
              <w:rPr>
                <w:rFonts w:ascii="Arial" w:hAnsi="Arial" w:cs="Arial"/>
                <w:sz w:val="18"/>
                <w:szCs w:val="18"/>
              </w:rPr>
            </w:pPr>
            <w:r w:rsidRPr="003E236E">
              <w:rPr>
                <w:rFonts w:ascii="Arial" w:hAnsi="Arial" w:cs="Arial"/>
                <w:sz w:val="18"/>
                <w:szCs w:val="18"/>
              </w:rPr>
              <w:t>Empirical observational</w:t>
            </w:r>
          </w:p>
        </w:tc>
        <w:tc>
          <w:tcPr>
            <w:tcW w:w="0" w:type="auto"/>
            <w:hideMark/>
          </w:tcPr>
          <w:p w14:paraId="02B22010" w14:textId="77777777" w:rsidR="003E236E" w:rsidRPr="003E236E" w:rsidRDefault="003E236E" w:rsidP="003E236E">
            <w:pPr>
              <w:spacing w:after="160" w:line="278" w:lineRule="auto"/>
              <w:rPr>
                <w:rFonts w:ascii="Arial" w:hAnsi="Arial" w:cs="Arial"/>
                <w:sz w:val="18"/>
                <w:szCs w:val="18"/>
              </w:rPr>
            </w:pPr>
            <w:r w:rsidRPr="003E236E">
              <w:rPr>
                <w:rFonts w:ascii="Arial" w:hAnsi="Arial" w:cs="Arial"/>
                <w:sz w:val="18"/>
                <w:szCs w:val="18"/>
              </w:rPr>
              <w:t>Multi-country Africa</w:t>
            </w:r>
          </w:p>
        </w:tc>
        <w:tc>
          <w:tcPr>
            <w:tcW w:w="0" w:type="auto"/>
            <w:hideMark/>
          </w:tcPr>
          <w:p w14:paraId="0684BC97" w14:textId="77777777" w:rsidR="003E236E" w:rsidRPr="003E236E" w:rsidRDefault="003E236E" w:rsidP="003E236E">
            <w:pPr>
              <w:spacing w:after="160" w:line="278" w:lineRule="auto"/>
              <w:rPr>
                <w:rFonts w:ascii="Arial" w:hAnsi="Arial" w:cs="Arial"/>
                <w:sz w:val="18"/>
                <w:szCs w:val="18"/>
              </w:rPr>
            </w:pPr>
            <w:proofErr w:type="spellStart"/>
            <w:r w:rsidRPr="003E236E">
              <w:rPr>
                <w:rFonts w:ascii="Arial" w:hAnsi="Arial" w:cs="Arial"/>
                <w:sz w:val="18"/>
                <w:szCs w:val="18"/>
              </w:rPr>
              <w:t>PfPR</w:t>
            </w:r>
            <w:proofErr w:type="spellEnd"/>
            <w:r w:rsidRPr="003E236E">
              <w:rPr>
                <w:rFonts w:ascii="Arial" w:hAnsi="Arial" w:cs="Arial"/>
                <w:sz w:val="18"/>
                <w:szCs w:val="18"/>
              </w:rPr>
              <w:t xml:space="preserve"> equivalent to roughly </w:t>
            </w:r>
            <w:r w:rsidRPr="003E236E">
              <w:rPr>
                <w:rFonts w:ascii="Arial" w:hAnsi="Arial" w:cs="Arial"/>
                <w:b/>
                <w:bCs/>
                <w:sz w:val="18"/>
                <w:szCs w:val="18"/>
              </w:rPr>
              <w:t>&lt;10 – &gt;80 EIR</w:t>
            </w:r>
          </w:p>
        </w:tc>
        <w:tc>
          <w:tcPr>
            <w:tcW w:w="0" w:type="auto"/>
            <w:hideMark/>
          </w:tcPr>
          <w:p w14:paraId="2D4397DE" w14:textId="77777777" w:rsidR="003E236E" w:rsidRPr="003E236E" w:rsidRDefault="003E236E" w:rsidP="003E236E">
            <w:pPr>
              <w:spacing w:after="160" w:line="278" w:lineRule="auto"/>
              <w:rPr>
                <w:rFonts w:ascii="Arial" w:hAnsi="Arial" w:cs="Arial"/>
                <w:sz w:val="18"/>
                <w:szCs w:val="18"/>
              </w:rPr>
            </w:pPr>
            <w:r w:rsidRPr="003E236E">
              <w:rPr>
                <w:rFonts w:ascii="Arial" w:hAnsi="Arial" w:cs="Arial"/>
                <w:sz w:val="18"/>
                <w:szCs w:val="18"/>
              </w:rPr>
              <w:t>DHS-based analysis of community net coverage</w:t>
            </w:r>
          </w:p>
        </w:tc>
        <w:tc>
          <w:tcPr>
            <w:tcW w:w="0" w:type="auto"/>
            <w:hideMark/>
          </w:tcPr>
          <w:p w14:paraId="1525F429" w14:textId="77777777" w:rsidR="003E236E" w:rsidRPr="003E236E" w:rsidRDefault="003E236E" w:rsidP="003E236E">
            <w:pPr>
              <w:spacing w:after="160" w:line="278" w:lineRule="auto"/>
              <w:rPr>
                <w:rFonts w:ascii="Arial" w:hAnsi="Arial" w:cs="Arial"/>
                <w:sz w:val="18"/>
                <w:szCs w:val="18"/>
              </w:rPr>
            </w:pPr>
            <w:r w:rsidRPr="003E236E">
              <w:rPr>
                <w:rFonts w:ascii="Arial" w:hAnsi="Arial" w:cs="Arial"/>
                <w:sz w:val="18"/>
                <w:szCs w:val="18"/>
                <w:highlight w:val="yellow"/>
              </w:rPr>
              <w:t>Indirect protection increases with community-level coverage but varies across ecological settings</w:t>
            </w:r>
            <w:r w:rsidRPr="003E236E">
              <w:rPr>
                <w:rFonts w:ascii="Arial" w:hAnsi="Arial" w:cs="Arial"/>
                <w:sz w:val="18"/>
                <w:szCs w:val="18"/>
              </w:rPr>
              <w:t>.</w:t>
            </w:r>
          </w:p>
        </w:tc>
      </w:tr>
      <w:tr w:rsidR="003E236E" w:rsidRPr="003E236E" w14:paraId="093FB0AB" w14:textId="77777777" w:rsidTr="003E236E">
        <w:tc>
          <w:tcPr>
            <w:tcW w:w="0" w:type="auto"/>
            <w:hideMark/>
          </w:tcPr>
          <w:p w14:paraId="6BC9E987" w14:textId="77777777" w:rsidR="003E236E" w:rsidRPr="003E236E" w:rsidRDefault="003E236E" w:rsidP="003E236E">
            <w:pPr>
              <w:spacing w:after="160" w:line="278" w:lineRule="auto"/>
              <w:rPr>
                <w:rFonts w:ascii="Arial" w:hAnsi="Arial" w:cs="Arial"/>
                <w:sz w:val="18"/>
                <w:szCs w:val="18"/>
              </w:rPr>
            </w:pPr>
            <w:r w:rsidRPr="003E236E">
              <w:rPr>
                <w:rFonts w:ascii="Arial" w:hAnsi="Arial" w:cs="Arial"/>
                <w:sz w:val="18"/>
                <w:szCs w:val="18"/>
              </w:rPr>
              <w:t>Killeen &amp; Smith (2007–2011)</w:t>
            </w:r>
          </w:p>
        </w:tc>
        <w:tc>
          <w:tcPr>
            <w:tcW w:w="0" w:type="auto"/>
            <w:hideMark/>
          </w:tcPr>
          <w:p w14:paraId="3C10C7F8" w14:textId="77777777" w:rsidR="003E236E" w:rsidRPr="003E236E" w:rsidRDefault="003E236E" w:rsidP="003E236E">
            <w:pPr>
              <w:spacing w:after="160" w:line="278" w:lineRule="auto"/>
              <w:rPr>
                <w:rFonts w:ascii="Arial" w:hAnsi="Arial" w:cs="Arial"/>
                <w:sz w:val="18"/>
                <w:szCs w:val="18"/>
              </w:rPr>
            </w:pPr>
            <w:r w:rsidRPr="003E236E">
              <w:rPr>
                <w:rFonts w:ascii="Arial" w:hAnsi="Arial" w:cs="Arial"/>
                <w:sz w:val="18"/>
                <w:szCs w:val="18"/>
              </w:rPr>
              <w:t>Modelling</w:t>
            </w:r>
          </w:p>
        </w:tc>
        <w:tc>
          <w:tcPr>
            <w:tcW w:w="0" w:type="auto"/>
            <w:hideMark/>
          </w:tcPr>
          <w:p w14:paraId="6AD44C88" w14:textId="77777777" w:rsidR="003E236E" w:rsidRPr="003E236E" w:rsidRDefault="003E236E" w:rsidP="003E236E">
            <w:pPr>
              <w:spacing w:after="160" w:line="278" w:lineRule="auto"/>
              <w:rPr>
                <w:rFonts w:ascii="Arial" w:hAnsi="Arial" w:cs="Arial"/>
                <w:sz w:val="18"/>
                <w:szCs w:val="18"/>
              </w:rPr>
            </w:pPr>
            <w:r w:rsidRPr="003E236E">
              <w:rPr>
                <w:rFonts w:ascii="Arial" w:hAnsi="Arial" w:cs="Arial"/>
                <w:sz w:val="18"/>
                <w:szCs w:val="18"/>
              </w:rPr>
              <w:t>Simulated African transmission settings</w:t>
            </w:r>
          </w:p>
        </w:tc>
        <w:tc>
          <w:tcPr>
            <w:tcW w:w="0" w:type="auto"/>
            <w:hideMark/>
          </w:tcPr>
          <w:p w14:paraId="6D88FCA2" w14:textId="77777777" w:rsidR="003E236E" w:rsidRPr="003E236E" w:rsidRDefault="003E236E" w:rsidP="003E236E">
            <w:pPr>
              <w:spacing w:after="160" w:line="278" w:lineRule="auto"/>
              <w:rPr>
                <w:rFonts w:ascii="Arial" w:hAnsi="Arial" w:cs="Arial"/>
                <w:sz w:val="18"/>
                <w:szCs w:val="18"/>
              </w:rPr>
            </w:pPr>
            <w:r w:rsidRPr="003E236E">
              <w:rPr>
                <w:rFonts w:ascii="Arial" w:hAnsi="Arial" w:cs="Arial"/>
                <w:b/>
                <w:bCs/>
                <w:sz w:val="18"/>
                <w:szCs w:val="18"/>
              </w:rPr>
              <w:t>1–300 EIR explored</w:t>
            </w:r>
          </w:p>
        </w:tc>
        <w:tc>
          <w:tcPr>
            <w:tcW w:w="0" w:type="auto"/>
            <w:hideMark/>
          </w:tcPr>
          <w:p w14:paraId="3B50BD2D" w14:textId="77777777" w:rsidR="003E236E" w:rsidRPr="003E236E" w:rsidRDefault="003E236E" w:rsidP="003E236E">
            <w:pPr>
              <w:spacing w:after="160" w:line="278" w:lineRule="auto"/>
              <w:rPr>
                <w:rFonts w:ascii="Arial" w:hAnsi="Arial" w:cs="Arial"/>
                <w:sz w:val="18"/>
                <w:szCs w:val="18"/>
              </w:rPr>
            </w:pPr>
            <w:r w:rsidRPr="003E236E">
              <w:rPr>
                <w:rFonts w:ascii="Arial" w:hAnsi="Arial" w:cs="Arial"/>
                <w:sz w:val="18"/>
                <w:szCs w:val="18"/>
              </w:rPr>
              <w:t>Transmission modelling of vector control interventions</w:t>
            </w:r>
          </w:p>
        </w:tc>
        <w:tc>
          <w:tcPr>
            <w:tcW w:w="0" w:type="auto"/>
            <w:hideMark/>
          </w:tcPr>
          <w:p w14:paraId="23763799" w14:textId="77777777" w:rsidR="003E236E" w:rsidRPr="003E236E" w:rsidRDefault="003E236E" w:rsidP="003E236E">
            <w:pPr>
              <w:spacing w:after="160" w:line="278" w:lineRule="auto"/>
              <w:rPr>
                <w:rFonts w:ascii="Arial" w:hAnsi="Arial" w:cs="Arial"/>
                <w:sz w:val="18"/>
                <w:szCs w:val="18"/>
              </w:rPr>
            </w:pPr>
            <w:r w:rsidRPr="003E236E">
              <w:rPr>
                <w:rFonts w:ascii="Arial" w:hAnsi="Arial" w:cs="Arial"/>
                <w:sz w:val="18"/>
                <w:szCs w:val="18"/>
              </w:rPr>
              <w:t>Strongest community protection predicted at low–moderate transmission; effects weaken as EIR becomes extremely high.</w:t>
            </w:r>
          </w:p>
        </w:tc>
      </w:tr>
      <w:tr w:rsidR="003E236E" w:rsidRPr="003E236E" w14:paraId="4DA75D7D" w14:textId="77777777" w:rsidTr="003E236E">
        <w:tc>
          <w:tcPr>
            <w:tcW w:w="0" w:type="auto"/>
            <w:hideMark/>
          </w:tcPr>
          <w:p w14:paraId="6B69398E" w14:textId="77777777" w:rsidR="003E236E" w:rsidRPr="003E236E" w:rsidRDefault="003E236E" w:rsidP="003E236E">
            <w:pPr>
              <w:spacing w:after="160" w:line="278" w:lineRule="auto"/>
              <w:rPr>
                <w:rFonts w:ascii="Arial" w:hAnsi="Arial" w:cs="Arial"/>
                <w:sz w:val="18"/>
                <w:szCs w:val="18"/>
              </w:rPr>
            </w:pPr>
            <w:proofErr w:type="spellStart"/>
            <w:r w:rsidRPr="003E236E">
              <w:rPr>
                <w:rFonts w:ascii="Arial" w:hAnsi="Arial" w:cs="Arial"/>
                <w:sz w:val="18"/>
                <w:szCs w:val="18"/>
              </w:rPr>
              <w:t>Briët</w:t>
            </w:r>
            <w:proofErr w:type="spellEnd"/>
            <w:r w:rsidRPr="003E236E">
              <w:rPr>
                <w:rFonts w:ascii="Arial" w:hAnsi="Arial" w:cs="Arial"/>
                <w:sz w:val="18"/>
                <w:szCs w:val="18"/>
              </w:rPr>
              <w:t xml:space="preserve"> et al., 2013 (</w:t>
            </w:r>
            <w:proofErr w:type="spellStart"/>
            <w:r w:rsidRPr="003E236E">
              <w:rPr>
                <w:rFonts w:ascii="Arial" w:hAnsi="Arial" w:cs="Arial"/>
                <w:sz w:val="18"/>
                <w:szCs w:val="18"/>
              </w:rPr>
              <w:t>OpenMalaria</w:t>
            </w:r>
            <w:proofErr w:type="spellEnd"/>
            <w:r w:rsidRPr="003E236E">
              <w:rPr>
                <w:rFonts w:ascii="Arial" w:hAnsi="Arial" w:cs="Arial"/>
                <w:sz w:val="18"/>
                <w:szCs w:val="18"/>
              </w:rPr>
              <w:t>)</w:t>
            </w:r>
          </w:p>
        </w:tc>
        <w:tc>
          <w:tcPr>
            <w:tcW w:w="0" w:type="auto"/>
            <w:hideMark/>
          </w:tcPr>
          <w:p w14:paraId="3ED1E795" w14:textId="77777777" w:rsidR="003E236E" w:rsidRPr="003E236E" w:rsidRDefault="003E236E" w:rsidP="003E236E">
            <w:pPr>
              <w:spacing w:after="160" w:line="278" w:lineRule="auto"/>
              <w:rPr>
                <w:rFonts w:ascii="Arial" w:hAnsi="Arial" w:cs="Arial"/>
                <w:sz w:val="18"/>
                <w:szCs w:val="18"/>
              </w:rPr>
            </w:pPr>
            <w:r w:rsidRPr="003E236E">
              <w:rPr>
                <w:rFonts w:ascii="Arial" w:hAnsi="Arial" w:cs="Arial"/>
                <w:sz w:val="18"/>
                <w:szCs w:val="18"/>
              </w:rPr>
              <w:t>Modelling</w:t>
            </w:r>
          </w:p>
        </w:tc>
        <w:tc>
          <w:tcPr>
            <w:tcW w:w="0" w:type="auto"/>
            <w:hideMark/>
          </w:tcPr>
          <w:p w14:paraId="15AE27A8" w14:textId="77777777" w:rsidR="003E236E" w:rsidRPr="003E236E" w:rsidRDefault="003E236E" w:rsidP="003E236E">
            <w:pPr>
              <w:spacing w:after="160" w:line="278" w:lineRule="auto"/>
              <w:rPr>
                <w:rFonts w:ascii="Arial" w:hAnsi="Arial" w:cs="Arial"/>
                <w:sz w:val="18"/>
                <w:szCs w:val="18"/>
              </w:rPr>
            </w:pPr>
            <w:r w:rsidRPr="003E236E">
              <w:rPr>
                <w:rFonts w:ascii="Arial" w:hAnsi="Arial" w:cs="Arial"/>
                <w:sz w:val="18"/>
                <w:szCs w:val="18"/>
              </w:rPr>
              <w:t>Simulated endemic settings</w:t>
            </w:r>
          </w:p>
        </w:tc>
        <w:tc>
          <w:tcPr>
            <w:tcW w:w="0" w:type="auto"/>
            <w:hideMark/>
          </w:tcPr>
          <w:p w14:paraId="55341A6B" w14:textId="77777777" w:rsidR="003E236E" w:rsidRPr="003E236E" w:rsidRDefault="003E236E" w:rsidP="003E236E">
            <w:pPr>
              <w:spacing w:after="160" w:line="278" w:lineRule="auto"/>
              <w:rPr>
                <w:rFonts w:ascii="Arial" w:hAnsi="Arial" w:cs="Arial"/>
                <w:sz w:val="18"/>
                <w:szCs w:val="18"/>
              </w:rPr>
            </w:pPr>
            <w:r w:rsidRPr="003E236E">
              <w:rPr>
                <w:rFonts w:ascii="Arial" w:hAnsi="Arial" w:cs="Arial"/>
                <w:b/>
                <w:bCs/>
                <w:sz w:val="18"/>
                <w:szCs w:val="18"/>
              </w:rPr>
              <w:t>1–200+ EIR explored</w:t>
            </w:r>
          </w:p>
        </w:tc>
        <w:tc>
          <w:tcPr>
            <w:tcW w:w="0" w:type="auto"/>
            <w:hideMark/>
          </w:tcPr>
          <w:p w14:paraId="4AE6522A" w14:textId="77777777" w:rsidR="003E236E" w:rsidRPr="003E236E" w:rsidRDefault="003E236E" w:rsidP="003E236E">
            <w:pPr>
              <w:spacing w:after="160" w:line="278" w:lineRule="auto"/>
              <w:rPr>
                <w:rFonts w:ascii="Arial" w:hAnsi="Arial" w:cs="Arial"/>
                <w:sz w:val="18"/>
                <w:szCs w:val="18"/>
              </w:rPr>
            </w:pPr>
            <w:r w:rsidRPr="003E236E">
              <w:rPr>
                <w:rFonts w:ascii="Arial" w:hAnsi="Arial" w:cs="Arial"/>
                <w:sz w:val="18"/>
                <w:szCs w:val="18"/>
              </w:rPr>
              <w:t>Individual-based malaria model simulations</w:t>
            </w:r>
          </w:p>
        </w:tc>
        <w:tc>
          <w:tcPr>
            <w:tcW w:w="0" w:type="auto"/>
            <w:hideMark/>
          </w:tcPr>
          <w:p w14:paraId="00EAE031" w14:textId="77777777" w:rsidR="003E236E" w:rsidRPr="003E236E" w:rsidRDefault="003E236E" w:rsidP="003E236E">
            <w:pPr>
              <w:spacing w:after="160" w:line="278" w:lineRule="auto"/>
              <w:rPr>
                <w:rFonts w:ascii="Arial" w:hAnsi="Arial" w:cs="Arial"/>
                <w:sz w:val="18"/>
                <w:szCs w:val="18"/>
              </w:rPr>
            </w:pPr>
            <w:r w:rsidRPr="003E236E">
              <w:rPr>
                <w:rFonts w:ascii="Arial" w:hAnsi="Arial" w:cs="Arial"/>
                <w:sz w:val="18"/>
                <w:szCs w:val="18"/>
              </w:rPr>
              <w:t>LLIN impact depends on transmission intensity, coverage, and immunity dynamics.</w:t>
            </w:r>
          </w:p>
        </w:tc>
      </w:tr>
      <w:tr w:rsidR="003E236E" w:rsidRPr="003E236E" w14:paraId="37209611" w14:textId="77777777" w:rsidTr="003E236E">
        <w:trPr>
          <w:trHeight w:val="2098"/>
        </w:trPr>
        <w:tc>
          <w:tcPr>
            <w:tcW w:w="0" w:type="auto"/>
            <w:hideMark/>
          </w:tcPr>
          <w:p w14:paraId="28BA6C44" w14:textId="77777777" w:rsidR="003E236E" w:rsidRPr="003E236E" w:rsidRDefault="003E236E" w:rsidP="003E236E">
            <w:pPr>
              <w:spacing w:after="160" w:line="278" w:lineRule="auto"/>
              <w:rPr>
                <w:rFonts w:ascii="Arial" w:hAnsi="Arial" w:cs="Arial"/>
                <w:sz w:val="18"/>
                <w:szCs w:val="18"/>
              </w:rPr>
            </w:pPr>
            <w:r w:rsidRPr="003E236E">
              <w:rPr>
                <w:rFonts w:ascii="Arial" w:hAnsi="Arial" w:cs="Arial"/>
                <w:sz w:val="18"/>
                <w:szCs w:val="18"/>
              </w:rPr>
              <w:t>Unwin et al., 2023</w:t>
            </w:r>
          </w:p>
        </w:tc>
        <w:tc>
          <w:tcPr>
            <w:tcW w:w="0" w:type="auto"/>
            <w:hideMark/>
          </w:tcPr>
          <w:p w14:paraId="12D82234" w14:textId="77777777" w:rsidR="003E236E" w:rsidRPr="003E236E" w:rsidRDefault="003E236E" w:rsidP="003E236E">
            <w:pPr>
              <w:spacing w:after="160" w:line="278" w:lineRule="auto"/>
              <w:rPr>
                <w:rFonts w:ascii="Arial" w:hAnsi="Arial" w:cs="Arial"/>
                <w:sz w:val="18"/>
                <w:szCs w:val="18"/>
              </w:rPr>
            </w:pPr>
            <w:r w:rsidRPr="003E236E">
              <w:rPr>
                <w:rFonts w:ascii="Arial" w:hAnsi="Arial" w:cs="Arial"/>
                <w:sz w:val="18"/>
                <w:szCs w:val="18"/>
              </w:rPr>
              <w:t>Modelling</w:t>
            </w:r>
          </w:p>
        </w:tc>
        <w:tc>
          <w:tcPr>
            <w:tcW w:w="0" w:type="auto"/>
            <w:hideMark/>
          </w:tcPr>
          <w:p w14:paraId="08A4F2E5" w14:textId="77777777" w:rsidR="003E236E" w:rsidRPr="003E236E" w:rsidRDefault="003E236E" w:rsidP="003E236E">
            <w:pPr>
              <w:spacing w:after="160" w:line="278" w:lineRule="auto"/>
              <w:rPr>
                <w:rFonts w:ascii="Arial" w:hAnsi="Arial" w:cs="Arial"/>
                <w:sz w:val="18"/>
                <w:szCs w:val="18"/>
              </w:rPr>
            </w:pPr>
            <w:r w:rsidRPr="003E236E">
              <w:rPr>
                <w:rFonts w:ascii="Arial" w:hAnsi="Arial" w:cs="Arial"/>
                <w:sz w:val="18"/>
                <w:szCs w:val="18"/>
              </w:rPr>
              <w:t>Simulated endemic settings</w:t>
            </w:r>
          </w:p>
        </w:tc>
        <w:tc>
          <w:tcPr>
            <w:tcW w:w="0" w:type="auto"/>
            <w:hideMark/>
          </w:tcPr>
          <w:p w14:paraId="3B06F20A" w14:textId="77777777" w:rsidR="003E236E" w:rsidRPr="003E236E" w:rsidRDefault="003E236E" w:rsidP="003E236E">
            <w:pPr>
              <w:spacing w:after="160" w:line="278" w:lineRule="auto"/>
              <w:rPr>
                <w:rFonts w:ascii="Arial" w:hAnsi="Arial" w:cs="Arial"/>
                <w:sz w:val="18"/>
                <w:szCs w:val="18"/>
              </w:rPr>
            </w:pPr>
            <w:r w:rsidRPr="003E236E">
              <w:rPr>
                <w:rFonts w:ascii="Arial" w:hAnsi="Arial" w:cs="Arial"/>
                <w:sz w:val="18"/>
                <w:szCs w:val="18"/>
              </w:rPr>
              <w:t xml:space="preserve">Example scenarios </w:t>
            </w:r>
            <w:r w:rsidRPr="003E236E">
              <w:rPr>
                <w:rFonts w:ascii="Arial" w:hAnsi="Arial" w:cs="Arial"/>
                <w:b/>
                <w:bCs/>
                <w:sz w:val="18"/>
                <w:szCs w:val="18"/>
              </w:rPr>
              <w:t>~10–100 EIR</w:t>
            </w:r>
          </w:p>
        </w:tc>
        <w:tc>
          <w:tcPr>
            <w:tcW w:w="0" w:type="auto"/>
            <w:hideMark/>
          </w:tcPr>
          <w:p w14:paraId="148041FA" w14:textId="77777777" w:rsidR="003E236E" w:rsidRPr="003E236E" w:rsidRDefault="003E236E" w:rsidP="003E236E">
            <w:pPr>
              <w:spacing w:after="160" w:line="278" w:lineRule="auto"/>
              <w:rPr>
                <w:rFonts w:ascii="Arial" w:hAnsi="Arial" w:cs="Arial"/>
                <w:sz w:val="18"/>
                <w:szCs w:val="18"/>
              </w:rPr>
            </w:pPr>
            <w:r w:rsidRPr="003E236E">
              <w:rPr>
                <w:rFonts w:ascii="Arial" w:hAnsi="Arial" w:cs="Arial"/>
                <w:sz w:val="18"/>
                <w:szCs w:val="18"/>
              </w:rPr>
              <w:t>Mechanistic modelling separating direct and indirect LLIN effects</w:t>
            </w:r>
          </w:p>
        </w:tc>
        <w:tc>
          <w:tcPr>
            <w:tcW w:w="0" w:type="auto"/>
            <w:hideMark/>
          </w:tcPr>
          <w:p w14:paraId="176FCD38" w14:textId="77777777" w:rsidR="003E236E" w:rsidRPr="00B43F97" w:rsidRDefault="003E236E" w:rsidP="003E236E">
            <w:pPr>
              <w:spacing w:after="160" w:line="278" w:lineRule="auto"/>
              <w:rPr>
                <w:rFonts w:ascii="Arial" w:hAnsi="Arial" w:cs="Arial"/>
                <w:sz w:val="18"/>
                <w:szCs w:val="18"/>
                <w:highlight w:val="yellow"/>
              </w:rPr>
            </w:pPr>
            <w:r w:rsidRPr="00B43F97">
              <w:rPr>
                <w:rFonts w:ascii="Arial" w:hAnsi="Arial" w:cs="Arial"/>
                <w:sz w:val="18"/>
                <w:szCs w:val="18"/>
                <w:highlight w:val="yellow"/>
              </w:rPr>
              <w:t>Community protection benefits both users and non-users; insecticide resistance reduces but does not eliminate indirect protection.</w:t>
            </w:r>
          </w:p>
        </w:tc>
      </w:tr>
    </w:tbl>
    <w:p w14:paraId="200FDBD2" w14:textId="77777777" w:rsidR="003E236E" w:rsidRDefault="003E236E">
      <w:pPr>
        <w:rPr>
          <w:rFonts w:ascii="Arial" w:hAnsi="Arial" w:cs="Arial"/>
        </w:rPr>
      </w:pPr>
    </w:p>
    <w:p w14:paraId="5FC05663" w14:textId="6E21C1AC" w:rsidR="00FF4277" w:rsidRDefault="00FF4277">
      <w:pPr>
        <w:rPr>
          <w:rFonts w:ascii="Arial" w:hAnsi="Arial" w:cs="Arial"/>
        </w:rPr>
      </w:pPr>
      <w:r w:rsidRPr="00FF4277">
        <w:rPr>
          <w:rFonts w:ascii="Arial" w:hAnsi="Arial" w:cs="Arial"/>
          <w:highlight w:val="yellow"/>
        </w:rPr>
        <w:t xml:space="preserve">Net used – </w:t>
      </w:r>
      <w:proofErr w:type="spellStart"/>
      <w:r w:rsidRPr="00FF4277">
        <w:rPr>
          <w:rFonts w:ascii="Arial" w:hAnsi="Arial" w:cs="Arial"/>
          <w:highlight w:val="yellow"/>
        </w:rPr>
        <w:t>futPBO</w:t>
      </w:r>
      <w:proofErr w:type="spellEnd"/>
      <w:r w:rsidRPr="00FF4277">
        <w:rPr>
          <w:rFonts w:ascii="Arial" w:hAnsi="Arial" w:cs="Arial"/>
          <w:highlight w:val="yellow"/>
        </w:rPr>
        <w:t xml:space="preserve"> – </w:t>
      </w:r>
      <w:proofErr w:type="spellStart"/>
      <w:r w:rsidRPr="00FF4277">
        <w:rPr>
          <w:rFonts w:ascii="Arial" w:hAnsi="Arial" w:cs="Arial"/>
          <w:highlight w:val="yellow"/>
        </w:rPr>
        <w:t>halflife</w:t>
      </w:r>
      <w:proofErr w:type="spellEnd"/>
      <w:r w:rsidRPr="00FF4277">
        <w:rPr>
          <w:rFonts w:ascii="Arial" w:hAnsi="Arial" w:cs="Arial"/>
          <w:highlight w:val="yellow"/>
        </w:rPr>
        <w:t xml:space="preserve"> = 2.4? check</w:t>
      </w:r>
    </w:p>
    <w:p w14:paraId="682A23C1" w14:textId="1F33A216" w:rsidR="00504AD5" w:rsidRDefault="00504AD5">
      <w:pPr>
        <w:rPr>
          <w:rFonts w:ascii="Arial" w:hAnsi="Arial" w:cs="Arial"/>
        </w:rPr>
      </w:pPr>
      <w:r w:rsidRPr="00504AD5">
        <w:rPr>
          <w:rFonts w:ascii="Arial" w:hAnsi="Arial" w:cs="Arial"/>
          <w:highlight w:val="yellow"/>
        </w:rPr>
        <w:t xml:space="preserve">EIR justification: </w:t>
      </w:r>
      <w:hyperlink r:id="rId5" w:history="1">
        <w:r w:rsidR="005700BC" w:rsidRPr="00A67C5F">
          <w:rPr>
            <w:rStyle w:val="Hyperlink"/>
            <w:rFonts w:ascii="Arial" w:hAnsi="Arial" w:cs="Arial"/>
            <w:highlight w:val="yellow"/>
          </w:rPr>
          <w:t>https://pubmed.ncbi.nlm.nih.gov/10432066/?utm</w:t>
        </w:r>
      </w:hyperlink>
    </w:p>
    <w:p w14:paraId="7CA4465E" w14:textId="1C6D70A9" w:rsidR="00504AD5" w:rsidRDefault="00504AD5">
      <w:pPr>
        <w:rPr>
          <w:rFonts w:ascii="Arial" w:hAnsi="Arial" w:cs="Arial"/>
        </w:rPr>
      </w:pPr>
      <w:r w:rsidRPr="00504AD5">
        <w:rPr>
          <w:rFonts w:ascii="Arial" w:hAnsi="Arial" w:cs="Arial"/>
        </w:rPr>
        <w:t xml:space="preserve">Annual entomological inoculation rates (EIRs) in malaria-endemic Africa vary from &lt;1 </w:t>
      </w:r>
      <w:proofErr w:type="spellStart"/>
      <w:r w:rsidRPr="00504AD5">
        <w:rPr>
          <w:rFonts w:ascii="Arial" w:hAnsi="Arial" w:cs="Arial"/>
        </w:rPr>
        <w:t>ib</w:t>
      </w:r>
      <w:proofErr w:type="spellEnd"/>
      <w:r w:rsidRPr="00504AD5">
        <w:rPr>
          <w:rFonts w:ascii="Arial" w:hAnsi="Arial" w:cs="Arial"/>
        </w:rPr>
        <w:t xml:space="preserve">/person/year to &gt;800 </w:t>
      </w:r>
      <w:proofErr w:type="spellStart"/>
      <w:r w:rsidRPr="00504AD5">
        <w:rPr>
          <w:rFonts w:ascii="Arial" w:hAnsi="Arial" w:cs="Arial"/>
        </w:rPr>
        <w:t>ib</w:t>
      </w:r>
      <w:proofErr w:type="spellEnd"/>
      <w:r w:rsidRPr="00504AD5">
        <w:rPr>
          <w:rFonts w:ascii="Arial" w:hAnsi="Arial" w:cs="Arial"/>
        </w:rPr>
        <w:t xml:space="preserve">/person/year, with the most intense transmission settings regularly exceeding 100 </w:t>
      </w:r>
      <w:proofErr w:type="spellStart"/>
      <w:r w:rsidRPr="00504AD5">
        <w:rPr>
          <w:rFonts w:ascii="Arial" w:hAnsi="Arial" w:cs="Arial"/>
        </w:rPr>
        <w:t>ib</w:t>
      </w:r>
      <w:proofErr w:type="spellEnd"/>
      <w:r w:rsidRPr="00504AD5">
        <w:rPr>
          <w:rFonts w:ascii="Arial" w:hAnsi="Arial" w:cs="Arial"/>
        </w:rPr>
        <w:t>/person/year.</w:t>
      </w:r>
    </w:p>
    <w:p w14:paraId="00E6E79A" w14:textId="7558EC3F" w:rsidR="00504AD5" w:rsidRDefault="00A51348">
      <w:pPr>
        <w:rPr>
          <w:rFonts w:ascii="Arial" w:hAnsi="Arial" w:cs="Arial"/>
        </w:rPr>
      </w:pPr>
      <w:hyperlink r:id="rId6" w:history="1">
        <w:r w:rsidRPr="00A67C5F">
          <w:rPr>
            <w:rStyle w:val="Hyperlink"/>
            <w:rFonts w:ascii="Arial" w:hAnsi="Arial" w:cs="Arial"/>
            <w:highlight w:val="yellow"/>
          </w:rPr>
          <w:t>https://link.springer.com/article/10.1186/s12879-024-09912-x?utm</w:t>
        </w:r>
      </w:hyperlink>
    </w:p>
    <w:p w14:paraId="4DDC7217" w14:textId="62762AFE" w:rsidR="00504AD5" w:rsidRDefault="00504AD5">
      <w:pPr>
        <w:rPr>
          <w:rFonts w:ascii="Arial" w:hAnsi="Arial" w:cs="Arial"/>
        </w:rPr>
      </w:pPr>
      <w:r w:rsidRPr="00504AD5">
        <w:rPr>
          <w:rFonts w:ascii="Arial" w:hAnsi="Arial" w:cs="Arial"/>
        </w:rPr>
        <w:t xml:space="preserve">An EIR range of ~8–100 </w:t>
      </w:r>
      <w:proofErr w:type="spellStart"/>
      <w:r w:rsidRPr="00504AD5">
        <w:rPr>
          <w:rFonts w:ascii="Arial" w:hAnsi="Arial" w:cs="Arial"/>
        </w:rPr>
        <w:t>ib</w:t>
      </w:r>
      <w:proofErr w:type="spellEnd"/>
      <w:r w:rsidRPr="00504AD5">
        <w:rPr>
          <w:rFonts w:ascii="Arial" w:hAnsi="Arial" w:cs="Arial"/>
        </w:rPr>
        <w:t xml:space="preserve">/person/year corresponds to intermediate and high transmission intensity categories commonly used in malaria modelling, capturing the regimes in which </w:t>
      </w:r>
      <w:proofErr w:type="spellStart"/>
      <w:r w:rsidRPr="00504AD5">
        <w:rPr>
          <w:rFonts w:ascii="Arial" w:hAnsi="Arial" w:cs="Arial"/>
        </w:rPr>
        <w:t>LLINs</w:t>
      </w:r>
      <w:proofErr w:type="spellEnd"/>
      <w:r w:rsidRPr="00504AD5">
        <w:rPr>
          <w:rFonts w:ascii="Arial" w:hAnsi="Arial" w:cs="Arial"/>
        </w:rPr>
        <w:t xml:space="preserve"> and community effects generate distinct direct and indirect impacts.</w:t>
      </w:r>
    </w:p>
    <w:p w14:paraId="394201AA" w14:textId="71EA45DD" w:rsidR="00504AD5" w:rsidRDefault="00504AD5">
      <w:pPr>
        <w:rPr>
          <w:rFonts w:ascii="Arial" w:hAnsi="Arial" w:cs="Arial"/>
        </w:rPr>
      </w:pPr>
      <w:r w:rsidRPr="00504AD5">
        <w:rPr>
          <w:rFonts w:ascii="Arial" w:hAnsi="Arial" w:cs="Arial"/>
          <w:highlight w:val="yellow"/>
        </w:rPr>
        <w:t>https://www.sciencedirect.com/science/article/pii/S0001706X17311026?utm</w:t>
      </w:r>
    </w:p>
    <w:p w14:paraId="13CCD378" w14:textId="24EF0DD5" w:rsidR="00504AD5" w:rsidRDefault="00504AD5">
      <w:pPr>
        <w:rPr>
          <w:rFonts w:ascii="Arial" w:hAnsi="Arial" w:cs="Arial"/>
        </w:rPr>
      </w:pPr>
      <w:r w:rsidRPr="00504AD5">
        <w:rPr>
          <w:rFonts w:ascii="Arial" w:hAnsi="Arial" w:cs="Arial"/>
        </w:rPr>
        <w:lastRenderedPageBreak/>
        <w:t xml:space="preserve">Field measurements in endemic settings frequently fall within the range of 10–100 </w:t>
      </w:r>
      <w:proofErr w:type="spellStart"/>
      <w:r w:rsidRPr="00504AD5">
        <w:rPr>
          <w:rFonts w:ascii="Arial" w:hAnsi="Arial" w:cs="Arial"/>
        </w:rPr>
        <w:t>ib</w:t>
      </w:r>
      <w:proofErr w:type="spellEnd"/>
      <w:r w:rsidRPr="00504AD5">
        <w:rPr>
          <w:rFonts w:ascii="Arial" w:hAnsi="Arial" w:cs="Arial"/>
        </w:rPr>
        <w:t>/person/year, validating this as a plausible spectrum of transmission intensities for simulation experiments.</w:t>
      </w:r>
    </w:p>
    <w:p w14:paraId="42C62951" w14:textId="61541C4D" w:rsidR="00504AD5" w:rsidRDefault="00504AD5">
      <w:pPr>
        <w:rPr>
          <w:rFonts w:ascii="Arial" w:hAnsi="Arial" w:cs="Arial"/>
        </w:rPr>
      </w:pPr>
      <w:bookmarkStart w:id="0" w:name="_Hlk222300330"/>
      <w:r w:rsidRPr="00504AD5">
        <w:rPr>
          <w:rFonts w:ascii="Arial" w:hAnsi="Arial" w:cs="Arial"/>
          <w:i/>
          <w:iCs/>
        </w:rPr>
        <w:t>We varied annual entomological inoculation rate (EIR) across a range of ~8 to 100 infectious bites per person per year to capture a gradient from intermediate to high malaria transmission intensity. EIR is a widely used measure of transmission, with empirical estimates in</w:t>
      </w:r>
      <w:r w:rsidR="00A51348">
        <w:rPr>
          <w:rFonts w:ascii="Arial" w:hAnsi="Arial" w:cs="Arial"/>
          <w:i/>
          <w:iCs/>
        </w:rPr>
        <w:t xml:space="preserve"> sub-Saharan</w:t>
      </w:r>
      <w:r w:rsidRPr="00504AD5">
        <w:rPr>
          <w:rFonts w:ascii="Arial" w:hAnsi="Arial" w:cs="Arial"/>
          <w:i/>
          <w:iCs/>
        </w:rPr>
        <w:t xml:space="preserve"> Africa endemic settings ranging from &lt;1 to several hundred </w:t>
      </w:r>
      <w:proofErr w:type="spellStart"/>
      <w:r w:rsidRPr="00504AD5">
        <w:rPr>
          <w:rFonts w:ascii="Arial" w:hAnsi="Arial" w:cs="Arial"/>
          <w:i/>
          <w:iCs/>
        </w:rPr>
        <w:t>ib</w:t>
      </w:r>
      <w:proofErr w:type="spellEnd"/>
      <w:r w:rsidRPr="00504AD5">
        <w:rPr>
          <w:rFonts w:ascii="Arial" w:hAnsi="Arial" w:cs="Arial"/>
          <w:i/>
          <w:iCs/>
        </w:rPr>
        <w:t>/person/year, and intermediate (≈8–32) to high (&gt;32) regimes frequently encountered in field studies and modelling work. This range allows assessment of LLIN direct and indirect effects across realistic transmission intensities relevant for Ghana and similar endemic contexts</w:t>
      </w:r>
      <w:bookmarkEnd w:id="0"/>
      <w:r w:rsidRPr="00504AD5">
        <w:rPr>
          <w:rFonts w:ascii="Arial" w:hAnsi="Arial" w:cs="Arial"/>
          <w:i/>
          <w:iCs/>
        </w:rPr>
        <w:t>.</w:t>
      </w:r>
      <w:r>
        <w:rPr>
          <w:rFonts w:ascii="Arial" w:hAnsi="Arial" w:cs="Arial"/>
          <w:i/>
          <w:iCs/>
        </w:rPr>
        <w:t xml:space="preserve"> EIR in Ghana ranges from 2-66 </w:t>
      </w:r>
      <w:proofErr w:type="spellStart"/>
      <w:r>
        <w:rPr>
          <w:rFonts w:ascii="Arial" w:hAnsi="Arial" w:cs="Arial"/>
          <w:i/>
          <w:iCs/>
        </w:rPr>
        <w:t>ib</w:t>
      </w:r>
      <w:proofErr w:type="spellEnd"/>
      <w:r>
        <w:rPr>
          <w:rFonts w:ascii="Arial" w:hAnsi="Arial" w:cs="Arial"/>
          <w:i/>
          <w:iCs/>
        </w:rPr>
        <w:t>/person/year, which is also consistent with other malaria endemic countries in sub-Saharan Africa</w:t>
      </w:r>
      <w:r w:rsidR="00512F64">
        <w:rPr>
          <w:rFonts w:ascii="Arial" w:hAnsi="Arial" w:cs="Arial"/>
          <w:i/>
          <w:iCs/>
        </w:rPr>
        <w:t>.</w:t>
      </w:r>
    </w:p>
    <w:p w14:paraId="2C469306" w14:textId="77777777" w:rsidR="00FF4277" w:rsidRPr="007D0172" w:rsidRDefault="00FF4277" w:rsidP="00FF4277">
      <w:pPr>
        <w:spacing w:line="360" w:lineRule="auto"/>
        <w:rPr>
          <w:rFonts w:ascii="Times New Roman" w:hAnsi="Times New Roman" w:cs="Times New Roman"/>
          <w:lang w:val="en-US"/>
        </w:rPr>
      </w:pPr>
      <w:r w:rsidRPr="007D0172">
        <w:rPr>
          <w:rFonts w:ascii="Times New Roman" w:hAnsi="Times New Roman" w:cs="Times New Roman"/>
          <w:lang w:val="en-US"/>
        </w:rPr>
        <w:t xml:space="preserve">We used </w:t>
      </w:r>
      <w:proofErr w:type="spellStart"/>
      <w:r w:rsidRPr="007D0172">
        <w:rPr>
          <w:rFonts w:ascii="Times New Roman" w:hAnsi="Times New Roman" w:cs="Times New Roman"/>
          <w:lang w:val="en-US"/>
        </w:rPr>
        <w:t>OpenMalaria</w:t>
      </w:r>
      <w:proofErr w:type="spellEnd"/>
      <w:r w:rsidRPr="007D0172">
        <w:rPr>
          <w:rFonts w:ascii="Times New Roman" w:hAnsi="Times New Roman" w:cs="Times New Roman"/>
          <w:lang w:val="en-US"/>
        </w:rPr>
        <w:t xml:space="preserve"> v44.0 </w:t>
      </w:r>
      <w:r w:rsidRPr="007D0172">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{"citationID":"jRNIFVvV","properties":{"formattedCitation":"[12]","plainCitation":"[12]","noteIndex":0},"citationItems":[{"id":6313,"uris":["http://zotero.org/users/13629295/items/G3DX76QJ"],"itemData":{"id":6313,"type":"webpage","abstract":"A simulator of malaria epidemiology and control. Contribute to SwissTPH/openmalaria development by creating an account on GitHub.","container-title":"GitHub","language":"en","title":"OpenMalaria Online wiki","URL":"https://github.com/SwissTPH/openmalaria/wiki/Home","accessed":{"date-parts":[["2025",4,23]]}}}],"schema":"https://github.com/citation-style-language/schema/raw/master/csl-citation.json"} </w:instrText>
      </w:r>
      <w:r w:rsidRPr="007D0172">
        <w:rPr>
          <w:rFonts w:ascii="Times New Roman" w:hAnsi="Times New Roman" w:cs="Times New Roman"/>
          <w:lang w:val="en-US"/>
        </w:rPr>
        <w:fldChar w:fldCharType="separate"/>
      </w:r>
      <w:r w:rsidRPr="00585215">
        <w:rPr>
          <w:rFonts w:ascii="Times New Roman" w:hAnsi="Times New Roman" w:cs="Times New Roman"/>
          <w:lang w:val="en-US"/>
        </w:rPr>
        <w:t>[12]</w:t>
      </w:r>
      <w:r w:rsidRPr="007D0172">
        <w:rPr>
          <w:rFonts w:ascii="Times New Roman" w:hAnsi="Times New Roman" w:cs="Times New Roman"/>
          <w:lang w:val="en-US"/>
        </w:rPr>
        <w:fldChar w:fldCharType="end"/>
      </w:r>
      <w:r w:rsidRPr="007D0172">
        <w:rPr>
          <w:rFonts w:ascii="Times New Roman" w:hAnsi="Times New Roman" w:cs="Times New Roman"/>
          <w:lang w:val="en-US"/>
        </w:rPr>
        <w:t xml:space="preserve"> to simulate malaria transmission dynamics and epidemiology at the district level in Ghana. To simulate malaria incidence in Ghana that reflects district-specific intervention combinations as specified in the National Malaria Elimination Strategic Plan (NMESP) </w:t>
      </w:r>
      <w:r w:rsidRPr="007D0172">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{"citationID":"Zh4mZ9bo","properties":{"formattedCitation":"[13]","plainCitation":"[13]","noteIndex":0},"citationItems":[{"id":27,"uris":["http://zotero.org/users/13629295/items/QDMZZD8I"],"itemData":{"id":27,"type":"document","title":"National Malaria Elimination Strategic Plan","title-short":"NMESP 2024-2028","URL":"https://mesamalaria.org/resource-hub/national-malaria-elimination-strategic-plan-nmesp-of-ghana-2024-2028/","author":[{"family":"NMEP","given":"Ghana"}]}}],"schema":"https://github.com/citation-style-language/schema/raw/master/csl-citation.json"} </w:instrText>
      </w:r>
      <w:r w:rsidRPr="007D0172">
        <w:rPr>
          <w:rFonts w:ascii="Times New Roman" w:hAnsi="Times New Roman" w:cs="Times New Roman"/>
          <w:lang w:val="en-US"/>
        </w:rPr>
        <w:fldChar w:fldCharType="separate"/>
      </w:r>
      <w:r w:rsidRPr="00585215">
        <w:rPr>
          <w:rFonts w:ascii="Times New Roman" w:hAnsi="Times New Roman" w:cs="Times New Roman"/>
          <w:lang w:val="en-US"/>
        </w:rPr>
        <w:t>[13]</w:t>
      </w:r>
      <w:r w:rsidRPr="007D0172">
        <w:rPr>
          <w:rFonts w:ascii="Times New Roman" w:hAnsi="Times New Roman" w:cs="Times New Roman"/>
          <w:lang w:val="en-US"/>
        </w:rPr>
        <w:fldChar w:fldCharType="end"/>
      </w:r>
      <w:r w:rsidRPr="007D0172">
        <w:rPr>
          <w:rFonts w:ascii="Times New Roman" w:hAnsi="Times New Roman" w:cs="Times New Roman"/>
          <w:lang w:val="en-US"/>
        </w:rPr>
        <w:t xml:space="preserve">, the model was calibrated to district-level prevalence estimates of 2-10 year children by the Malaria Atlas Project (MAP) starting from 2015. The calibration step was used to reproduce historical malaria trends while estimating each district's entomological inoculation rate (malaria transmission intensity). The calibrated model was validated using case data from the World Malaria Report (WMR) and the Demographic and Health Indicator Survey (DHIS2), but also prevalence estimates for malaria indicator surveys (MIS). </w:t>
      </w:r>
    </w:p>
    <w:p w14:paraId="2A830946" w14:textId="77777777" w:rsidR="00FF4277" w:rsidRPr="007D0172" w:rsidRDefault="00FF4277" w:rsidP="00FF4277">
      <w:pPr>
        <w:autoSpaceDE w:val="0"/>
        <w:autoSpaceDN w:val="0"/>
        <w:adjustRightInd w:val="0"/>
        <w:spacing w:after="0" w:line="360" w:lineRule="auto"/>
        <w:rPr>
          <w:rFonts w:ascii="Times New Roman" w:hAnsi="Times New Roman" w:cs="Times New Roman"/>
          <w:highlight w:val="green"/>
          <w:lang w:val="en-US"/>
        </w:rPr>
      </w:pPr>
      <w:r w:rsidRPr="007D0172">
        <w:rPr>
          <w:rFonts w:ascii="Times New Roman" w:hAnsi="Times New Roman" w:cs="Times New Roman"/>
          <w:highlight w:val="green"/>
          <w:lang w:val="en-US"/>
        </w:rPr>
        <w:t>We used an age-structured population of 10,000 informed by the …?</w:t>
      </w:r>
    </w:p>
    <w:p w14:paraId="00078FD6" w14:textId="77777777" w:rsidR="00FF4277" w:rsidRPr="007D0172" w:rsidRDefault="00FF4277" w:rsidP="00FF4277">
      <w:pPr>
        <w:autoSpaceDE w:val="0"/>
        <w:autoSpaceDN w:val="0"/>
        <w:adjustRightInd w:val="0"/>
        <w:spacing w:after="0" w:line="360" w:lineRule="auto"/>
        <w:rPr>
          <w:rFonts w:ascii="Times New Roman" w:hAnsi="Times New Roman" w:cs="Times New Roman"/>
          <w:highlight w:val="yellow"/>
          <w:lang w:val="en-US"/>
        </w:rPr>
      </w:pPr>
    </w:p>
    <w:p w14:paraId="3D25AA35" w14:textId="77777777" w:rsidR="00FF4277" w:rsidRDefault="00FF4277" w:rsidP="00FF4277">
      <w:pPr>
        <w:rPr>
          <w:rFonts w:ascii="Times New Roman" w:hAnsi="Times New Roman" w:cs="Times New Roman"/>
          <w:color w:val="000000"/>
          <w:lang w:val="en-US"/>
        </w:rPr>
      </w:pPr>
      <w:r w:rsidRPr="007D0172">
        <w:rPr>
          <w:rFonts w:ascii="Times New Roman" w:hAnsi="Times New Roman" w:cs="Times New Roman"/>
          <w:lang w:val="en-US"/>
        </w:rPr>
        <w:t xml:space="preserve">Data from demographic and health surveillance surveys (DHS) and MIS between 2003 and 2019 were used to estimate access to care in the different regions in Ghana. Estimates of vector species density were obtained from a publicly available </w:t>
      </w:r>
      <w:proofErr w:type="gramStart"/>
      <w:r w:rsidRPr="007D0172">
        <w:rPr>
          <w:rFonts w:ascii="Times New Roman" w:hAnsi="Times New Roman" w:cs="Times New Roman"/>
          <w:lang w:val="en-US"/>
        </w:rPr>
        <w:t>dataset</w:t>
      </w:r>
      <w:proofErr w:type="gramEnd"/>
      <w:r w:rsidRPr="007D0172">
        <w:rPr>
          <w:rFonts w:ascii="Times New Roman" w:hAnsi="Times New Roman" w:cs="Times New Roman"/>
          <w:lang w:val="en-US"/>
        </w:rPr>
        <w:t xml:space="preserve"> provided by MAP. DHIS2 case count data between 2015 and 2022 averaged by month and region</w:t>
      </w:r>
      <w:r>
        <w:rPr>
          <w:rFonts w:ascii="Times New Roman" w:hAnsi="Times New Roman" w:cs="Times New Roman"/>
          <w:lang w:val="en-US"/>
        </w:rPr>
        <w:t xml:space="preserve"> </w:t>
      </w:r>
      <w:r w:rsidRPr="007D0172">
        <w:rPr>
          <w:rFonts w:ascii="Times New Roman" w:hAnsi="Times New Roman" w:cs="Times New Roman"/>
          <w:lang w:val="en-US"/>
        </w:rPr>
        <w:t xml:space="preserve">were used to parameterize seasonal transmission patterns. </w:t>
      </w:r>
      <w:r w:rsidRPr="007D0172">
        <w:rPr>
          <w:rFonts w:ascii="Times New Roman" w:hAnsi="Times New Roman" w:cs="Times New Roman"/>
          <w:color w:val="000000"/>
          <w:lang w:val="en-US"/>
        </w:rPr>
        <w:t>Characteristics, including demographics, mosquito species composition, their biting patterns, and the entomological inoculation rate, were modelled, and the vector interventions</w:t>
      </w:r>
      <w:r>
        <w:rPr>
          <w:rFonts w:ascii="Times New Roman" w:hAnsi="Times New Roman" w:cs="Times New Roman"/>
          <w:color w:val="000000"/>
          <w:lang w:val="en-US"/>
        </w:rPr>
        <w:t>, LLIN</w:t>
      </w:r>
      <w:r w:rsidRPr="007D0172">
        <w:rPr>
          <w:rFonts w:ascii="Times New Roman" w:hAnsi="Times New Roman" w:cs="Times New Roman"/>
          <w:color w:val="000000"/>
          <w:lang w:val="en-US"/>
        </w:rPr>
        <w:t xml:space="preserve"> w</w:t>
      </w:r>
      <w:r>
        <w:rPr>
          <w:rFonts w:ascii="Times New Roman" w:hAnsi="Times New Roman" w:cs="Times New Roman"/>
          <w:color w:val="000000"/>
          <w:lang w:val="en-US"/>
        </w:rPr>
        <w:t>as</w:t>
      </w:r>
      <w:r w:rsidRPr="007D0172">
        <w:rPr>
          <w:rFonts w:ascii="Times New Roman" w:hAnsi="Times New Roman" w:cs="Times New Roman"/>
          <w:color w:val="000000"/>
          <w:lang w:val="en-US"/>
        </w:rPr>
        <w:t xml:space="preserve"> applied.</w:t>
      </w:r>
    </w:p>
    <w:p w14:paraId="68FF8633" w14:textId="77777777" w:rsidR="00FF4277" w:rsidRDefault="00FF4277" w:rsidP="00FF4277">
      <w:pPr>
        <w:rPr>
          <w:rFonts w:ascii="Arial" w:hAnsi="Arial" w:cs="Arial"/>
        </w:rPr>
      </w:pPr>
      <w:r w:rsidRPr="006764E4">
        <w:rPr>
          <w:rFonts w:ascii="Arial" w:hAnsi="Arial" w:cs="Arial"/>
        </w:rPr>
        <w:t xml:space="preserve">Although </w:t>
      </w:r>
      <w:proofErr w:type="spellStart"/>
      <w:r w:rsidRPr="006764E4">
        <w:rPr>
          <w:rFonts w:ascii="Arial" w:hAnsi="Arial" w:cs="Arial"/>
        </w:rPr>
        <w:t>OpenMalaria</w:t>
      </w:r>
      <w:proofErr w:type="spellEnd"/>
      <w:r w:rsidRPr="006764E4">
        <w:rPr>
          <w:rFonts w:ascii="Arial" w:hAnsi="Arial" w:cs="Arial"/>
        </w:rPr>
        <w:t xml:space="preserve"> was parameterised using Ghana-specific demographic characteristics, seasonal transmission patterns, vector species composition, and historical access to care, analyses were conducted across a range of EIR values rather than using location-calibrated EIRs. This design allowed us to isolate the role of transmission intensity in shaping LLIN-mediated community protection while retaining a realistic epidemiological context. </w:t>
      </w:r>
    </w:p>
    <w:p w14:paraId="2DCC3CED" w14:textId="77777777" w:rsidR="00FF4277" w:rsidRDefault="00FF4277" w:rsidP="00FF4277">
      <w:pPr>
        <w:rPr>
          <w:rFonts w:ascii="Arial" w:hAnsi="Arial" w:cs="Arial"/>
        </w:rPr>
      </w:pPr>
      <w:r w:rsidRPr="0016164E">
        <w:rPr>
          <w:rFonts w:ascii="Arial" w:hAnsi="Arial" w:cs="Arial"/>
        </w:rPr>
        <w:lastRenderedPageBreak/>
        <w:t xml:space="preserve">Simulations incorporated </w:t>
      </w:r>
      <w:r w:rsidRPr="0016164E">
        <w:rPr>
          <w:rFonts w:ascii="Arial" w:hAnsi="Arial" w:cs="Arial"/>
          <w:b/>
          <w:bCs/>
        </w:rPr>
        <w:t>seasonal transmission patterns calibrated to the Oti Region of Ghana</w:t>
      </w:r>
      <w:r w:rsidRPr="0016164E">
        <w:rPr>
          <w:rFonts w:ascii="Arial" w:hAnsi="Arial" w:cs="Arial"/>
        </w:rPr>
        <w:t>, which exhibits the highest entomological inoculation rate (EIR) among Ghana’s 16 administrative regions</w:t>
      </w:r>
      <w:r>
        <w:rPr>
          <w:rFonts w:ascii="Arial" w:hAnsi="Arial" w:cs="Arial"/>
        </w:rPr>
        <w:t xml:space="preserve">. </w:t>
      </w:r>
      <w:r w:rsidRPr="0016164E">
        <w:rPr>
          <w:rFonts w:ascii="Arial" w:hAnsi="Arial" w:cs="Arial"/>
        </w:rPr>
        <w:t>While seasonality was calibrated to the Oti Region, analyses were stratified by EIR, allowing findings to be interpreted across a broad range of transmission intensities.</w:t>
      </w:r>
      <w:r>
        <w:rPr>
          <w:rFonts w:ascii="Arial" w:hAnsi="Arial" w:cs="Arial"/>
        </w:rPr>
        <w:t xml:space="preserve"> The broad range of EIR reflects the heterogeneity in malaria transmission.</w:t>
      </w:r>
    </w:p>
    <w:p w14:paraId="0F4A273E" w14:textId="77777777" w:rsidR="00FF4277" w:rsidRDefault="00FF4277" w:rsidP="00FF4277">
      <w:pPr>
        <w:rPr>
          <w:rFonts w:ascii="Arial" w:hAnsi="Arial" w:cs="Arial"/>
        </w:rPr>
      </w:pPr>
      <w:r w:rsidRPr="00AE2DA1">
        <w:rPr>
          <w:rFonts w:ascii="Arial" w:hAnsi="Arial" w:cs="Arial"/>
        </w:rPr>
        <w:t>For each EIR, scenarios were run under varying levels of LLIN usage, including a counterfactual scenario with no LLIN use (coverage = 0).</w:t>
      </w:r>
      <w:r>
        <w:rPr>
          <w:rFonts w:ascii="Arial" w:hAnsi="Arial" w:cs="Arial"/>
        </w:rPr>
        <w:t xml:space="preserve"> </w:t>
      </w:r>
    </w:p>
    <w:p w14:paraId="2AD03284" w14:textId="77777777" w:rsidR="00FF4277" w:rsidRDefault="00FF4277" w:rsidP="00FF4277">
      <w:pPr>
        <w:rPr>
          <w:rFonts w:ascii="Arial" w:hAnsi="Arial" w:cs="Arial"/>
        </w:rPr>
      </w:pPr>
      <w:r>
        <w:rPr>
          <w:rFonts w:ascii="Arial" w:hAnsi="Arial" w:cs="Arial"/>
        </w:rPr>
        <w:t>A</w:t>
      </w:r>
      <w:r w:rsidRPr="00506961">
        <w:rPr>
          <w:rFonts w:ascii="Arial" w:hAnsi="Arial" w:cs="Arial"/>
        </w:rPr>
        <w:t xml:space="preserve">ssuming a </w:t>
      </w:r>
      <w:r w:rsidRPr="00D57BA0">
        <w:rPr>
          <w:rFonts w:ascii="Arial" w:hAnsi="Arial" w:cs="Arial"/>
        </w:rPr>
        <w:t xml:space="preserve">3-year </w:t>
      </w:r>
      <w:r w:rsidRPr="00506961">
        <w:rPr>
          <w:rFonts w:ascii="Arial" w:hAnsi="Arial" w:cs="Arial"/>
        </w:rPr>
        <w:t>net distribution cycle</w:t>
      </w:r>
      <w:r>
        <w:rPr>
          <w:rFonts w:ascii="Arial" w:hAnsi="Arial" w:cs="Arial"/>
        </w:rPr>
        <w:t xml:space="preserve"> through mass campaigns and for </w:t>
      </w:r>
      <w:r w:rsidRPr="00506961">
        <w:rPr>
          <w:rFonts w:ascii="Arial" w:hAnsi="Arial" w:cs="Arial"/>
        </w:rPr>
        <w:t xml:space="preserve">a </w:t>
      </w:r>
      <w:r>
        <w:rPr>
          <w:rFonts w:ascii="Arial" w:hAnsi="Arial" w:cs="Arial"/>
        </w:rPr>
        <w:t xml:space="preserve">human </w:t>
      </w:r>
      <w:r w:rsidRPr="00506961">
        <w:rPr>
          <w:rFonts w:ascii="Arial" w:hAnsi="Arial" w:cs="Arial"/>
        </w:rPr>
        <w:t xml:space="preserve">population of </w:t>
      </w:r>
      <w:r w:rsidRPr="00D57BA0">
        <w:rPr>
          <w:rFonts w:ascii="Arial" w:hAnsi="Arial" w:cs="Arial"/>
        </w:rPr>
        <w:t>10,000</w:t>
      </w:r>
      <w:r w:rsidRPr="00506961">
        <w:rPr>
          <w:rFonts w:ascii="Arial" w:hAnsi="Arial" w:cs="Arial"/>
        </w:rPr>
        <w:t xml:space="preserve"> </w:t>
      </w:r>
      <w:r>
        <w:rPr>
          <w:rFonts w:ascii="Arial" w:hAnsi="Arial" w:cs="Arial"/>
        </w:rPr>
        <w:t>people</w:t>
      </w:r>
      <w:r w:rsidRPr="00506961">
        <w:rPr>
          <w:rFonts w:ascii="Arial" w:hAnsi="Arial" w:cs="Arial"/>
        </w:rPr>
        <w:t xml:space="preserve">, </w:t>
      </w:r>
      <w:proofErr w:type="spellStart"/>
      <w:r>
        <w:rPr>
          <w:rFonts w:ascii="Arial" w:hAnsi="Arial" w:cs="Arial"/>
        </w:rPr>
        <w:t>LLINs</w:t>
      </w:r>
      <w:proofErr w:type="spellEnd"/>
      <w:r>
        <w:rPr>
          <w:rFonts w:ascii="Arial" w:hAnsi="Arial" w:cs="Arial"/>
        </w:rPr>
        <w:t xml:space="preserve"> were deployed in the years 202</w:t>
      </w:r>
      <w:r w:rsidRPr="00506961">
        <w:rPr>
          <w:rFonts w:ascii="Arial" w:hAnsi="Arial" w:cs="Arial"/>
        </w:rPr>
        <w:t>1</w:t>
      </w:r>
      <w:r>
        <w:rPr>
          <w:rFonts w:ascii="Arial" w:hAnsi="Arial" w:cs="Arial"/>
        </w:rPr>
        <w:t>, 2024 and 2027.</w:t>
      </w:r>
      <w:r w:rsidRPr="00506961">
        <w:rPr>
          <w:rFonts w:ascii="Arial" w:hAnsi="Arial" w:cs="Arial"/>
        </w:rPr>
        <w:t xml:space="preserve"> </w:t>
      </w:r>
      <w:r>
        <w:rPr>
          <w:rFonts w:ascii="Arial" w:hAnsi="Arial" w:cs="Arial"/>
        </w:rPr>
        <w:t>W</w:t>
      </w:r>
      <w:r w:rsidRPr="00506961">
        <w:rPr>
          <w:rFonts w:ascii="Arial" w:hAnsi="Arial" w:cs="Arial"/>
        </w:rPr>
        <w:t>e simulate</w:t>
      </w:r>
      <w:r>
        <w:rPr>
          <w:rFonts w:ascii="Arial" w:hAnsi="Arial" w:cs="Arial"/>
        </w:rPr>
        <w:t>d</w:t>
      </w:r>
      <w:r w:rsidRPr="00506961">
        <w:rPr>
          <w:rFonts w:ascii="Arial" w:hAnsi="Arial" w:cs="Arial"/>
        </w:rPr>
        <w:t xml:space="preserve"> </w:t>
      </w:r>
      <w:proofErr w:type="spellStart"/>
      <w:r w:rsidRPr="00506961">
        <w:rPr>
          <w:rFonts w:ascii="Arial" w:hAnsi="Arial" w:cs="Arial"/>
        </w:rPr>
        <w:t>LLINs</w:t>
      </w:r>
      <w:proofErr w:type="spellEnd"/>
      <w:r w:rsidRPr="00506961">
        <w:rPr>
          <w:rFonts w:ascii="Arial" w:hAnsi="Arial" w:cs="Arial"/>
        </w:rPr>
        <w:t xml:space="preserve"> being used by </w:t>
      </w:r>
      <w:r>
        <w:rPr>
          <w:rFonts w:ascii="Arial" w:hAnsi="Arial" w:cs="Arial"/>
        </w:rPr>
        <w:t>20, 40, 60, 70, 80 and 9</w:t>
      </w:r>
      <w:r w:rsidRPr="00506961">
        <w:rPr>
          <w:rFonts w:ascii="Arial" w:hAnsi="Arial" w:cs="Arial"/>
        </w:rPr>
        <w:t xml:space="preserve">0% of the population at random and </w:t>
      </w:r>
      <w:r>
        <w:rPr>
          <w:rFonts w:ascii="Arial" w:hAnsi="Arial" w:cs="Arial"/>
        </w:rPr>
        <w:t>tracked in each case the user and non-user cohorts</w:t>
      </w:r>
      <w:r w:rsidRPr="00D57BA0">
        <w:rPr>
          <w:rFonts w:ascii="Arial" w:hAnsi="Arial" w:cs="Arial"/>
        </w:rPr>
        <w:t>.</w:t>
      </w:r>
      <w:r>
        <w:rPr>
          <w:rFonts w:ascii="Arial" w:hAnsi="Arial" w:cs="Arial"/>
        </w:rPr>
        <w:t xml:space="preserve"> O</w:t>
      </w:r>
      <w:r w:rsidRPr="00AE2DA1">
        <w:rPr>
          <w:rFonts w:ascii="Arial" w:hAnsi="Arial" w:cs="Arial"/>
        </w:rPr>
        <w:t xml:space="preserve">utcomes were analysed over the post-intervention period from 2024 to 2026. All results presented are based on </w:t>
      </w:r>
      <w:r>
        <w:rPr>
          <w:rFonts w:ascii="Arial" w:hAnsi="Arial" w:cs="Arial"/>
        </w:rPr>
        <w:t xml:space="preserve">five </w:t>
      </w:r>
      <w:r w:rsidRPr="00AE2DA1">
        <w:rPr>
          <w:rFonts w:ascii="Arial" w:hAnsi="Arial" w:cs="Arial"/>
        </w:rPr>
        <w:t>stochastic realisation</w:t>
      </w:r>
      <w:r>
        <w:rPr>
          <w:rFonts w:ascii="Arial" w:hAnsi="Arial" w:cs="Arial"/>
        </w:rPr>
        <w:t>s (seed=5).</w:t>
      </w:r>
    </w:p>
    <w:p w14:paraId="102EC640" w14:textId="77777777" w:rsidR="00FF4277" w:rsidRPr="00D57BA0" w:rsidRDefault="00FF4277" w:rsidP="00FF4277">
      <w:pPr>
        <w:rPr>
          <w:rFonts w:ascii="Arial" w:hAnsi="Arial" w:cs="Arial"/>
          <w:b/>
          <w:bCs/>
        </w:rPr>
      </w:pPr>
      <w:r w:rsidRPr="008726F5">
        <w:rPr>
          <w:rFonts w:ascii="Arial" w:hAnsi="Arial" w:cs="Arial"/>
          <w:highlight w:val="cyan"/>
        </w:rPr>
        <w:t>showed the all-age prevalence across the whole population</w:t>
      </w:r>
    </w:p>
    <w:p w14:paraId="6D7845FC" w14:textId="77777777" w:rsidR="00FF4277" w:rsidRDefault="00FF4277" w:rsidP="00FF4277">
      <w:pPr>
        <w:rPr>
          <w:rFonts w:ascii="Arial" w:hAnsi="Arial" w:cs="Arial"/>
        </w:rPr>
      </w:pPr>
      <w:r>
        <w:rPr>
          <w:rFonts w:ascii="Arial" w:hAnsi="Arial" w:cs="Arial"/>
        </w:rPr>
        <w:t>Mo</w:t>
      </w:r>
      <w:r w:rsidRPr="00AE2DA1">
        <w:rPr>
          <w:rFonts w:ascii="Arial" w:hAnsi="Arial" w:cs="Arial"/>
        </w:rPr>
        <w:t>del outputs were stratified by LLIN use status</w:t>
      </w:r>
      <w:r>
        <w:rPr>
          <w:rFonts w:ascii="Arial" w:hAnsi="Arial" w:cs="Arial"/>
        </w:rPr>
        <w:t xml:space="preserve"> (users or non-users)</w:t>
      </w:r>
      <w:r w:rsidRPr="00AE2DA1">
        <w:rPr>
          <w:rFonts w:ascii="Arial" w:hAnsi="Arial" w:cs="Arial"/>
        </w:rPr>
        <w:t xml:space="preserve"> and age group. For the main analyses, outcomes were aggregated over </w:t>
      </w:r>
      <w:r>
        <w:rPr>
          <w:rFonts w:ascii="Arial" w:hAnsi="Arial" w:cs="Arial"/>
        </w:rPr>
        <w:t xml:space="preserve">all age groups </w:t>
      </w:r>
      <w:r w:rsidRPr="007E13EA">
        <w:rPr>
          <w:rFonts w:ascii="Arial" w:hAnsi="Arial" w:cs="Arial"/>
        </w:rPr>
        <w:t>(</w:t>
      </w:r>
      <w:r w:rsidRPr="00AE2DA1">
        <w:rPr>
          <w:rFonts w:ascii="Arial" w:hAnsi="Arial" w:cs="Arial"/>
        </w:rPr>
        <w:t>0–100</w:t>
      </w:r>
      <w:r w:rsidRPr="007E13EA">
        <w:rPr>
          <w:rFonts w:ascii="Arial" w:hAnsi="Arial" w:cs="Arial"/>
        </w:rPr>
        <w:t>)</w:t>
      </w:r>
      <w:r w:rsidRPr="00AE2DA1">
        <w:rPr>
          <w:rFonts w:ascii="Arial" w:hAnsi="Arial" w:cs="Arial"/>
        </w:rPr>
        <w:t>, with individuals classified as either LLIN users or LLIN non-users. Age-specific outputs were retained in the raw simulations but were not the focus of this analysis, which aimed to quantify community-level effects at the population scale.</w:t>
      </w:r>
    </w:p>
    <w:p w14:paraId="413BC021" w14:textId="77777777" w:rsidR="00FF4277" w:rsidRPr="00AE2DA1" w:rsidRDefault="00FF4277">
      <w:pPr>
        <w:rPr>
          <w:rFonts w:ascii="Arial" w:hAnsi="Arial" w:cs="Arial"/>
        </w:rPr>
      </w:pPr>
    </w:p>
    <w:sectPr w:rsidR="00FF4277" w:rsidRPr="00AE2D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22779"/>
    <w:multiLevelType w:val="hybridMultilevel"/>
    <w:tmpl w:val="E1E46222"/>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 w15:restartNumberingAfterBreak="0">
    <w:nsid w:val="14E70CE4"/>
    <w:multiLevelType w:val="multilevel"/>
    <w:tmpl w:val="73424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5489330">
    <w:abstractNumId w:val="0"/>
  </w:num>
  <w:num w:numId="2" w16cid:durableId="3782863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DA1"/>
    <w:rsid w:val="000451B2"/>
    <w:rsid w:val="0020211A"/>
    <w:rsid w:val="00282AD8"/>
    <w:rsid w:val="003A4441"/>
    <w:rsid w:val="003E236E"/>
    <w:rsid w:val="00504AD5"/>
    <w:rsid w:val="00511DB1"/>
    <w:rsid w:val="00512F64"/>
    <w:rsid w:val="005700BC"/>
    <w:rsid w:val="00576754"/>
    <w:rsid w:val="00747E29"/>
    <w:rsid w:val="00844AE0"/>
    <w:rsid w:val="008F2CBE"/>
    <w:rsid w:val="009F334C"/>
    <w:rsid w:val="00A51348"/>
    <w:rsid w:val="00A92D78"/>
    <w:rsid w:val="00AE2DA1"/>
    <w:rsid w:val="00B43F97"/>
    <w:rsid w:val="00D46493"/>
    <w:rsid w:val="00E11378"/>
    <w:rsid w:val="00FF4277"/>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2FFFE"/>
  <w15:chartTrackingRefBased/>
  <w15:docId w15:val="{804E8016-C931-4FB4-A362-82CA62D56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2D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2D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2D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2D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2D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2D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2D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2D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2D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2D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2D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2D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2D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2D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2D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2D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2D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2DA1"/>
    <w:rPr>
      <w:rFonts w:eastAsiaTheme="majorEastAsia" w:cstheme="majorBidi"/>
      <w:color w:val="272727" w:themeColor="text1" w:themeTint="D8"/>
    </w:rPr>
  </w:style>
  <w:style w:type="paragraph" w:styleId="Title">
    <w:name w:val="Title"/>
    <w:basedOn w:val="Normal"/>
    <w:next w:val="Normal"/>
    <w:link w:val="TitleChar"/>
    <w:uiPriority w:val="10"/>
    <w:qFormat/>
    <w:rsid w:val="00AE2D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2D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2D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2D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2DA1"/>
    <w:pPr>
      <w:spacing w:before="160"/>
      <w:jc w:val="center"/>
    </w:pPr>
    <w:rPr>
      <w:i/>
      <w:iCs/>
      <w:color w:val="404040" w:themeColor="text1" w:themeTint="BF"/>
    </w:rPr>
  </w:style>
  <w:style w:type="character" w:customStyle="1" w:styleId="QuoteChar">
    <w:name w:val="Quote Char"/>
    <w:basedOn w:val="DefaultParagraphFont"/>
    <w:link w:val="Quote"/>
    <w:uiPriority w:val="29"/>
    <w:rsid w:val="00AE2DA1"/>
    <w:rPr>
      <w:i/>
      <w:iCs/>
      <w:color w:val="404040" w:themeColor="text1" w:themeTint="BF"/>
    </w:rPr>
  </w:style>
  <w:style w:type="paragraph" w:styleId="ListParagraph">
    <w:name w:val="List Paragraph"/>
    <w:basedOn w:val="Normal"/>
    <w:uiPriority w:val="34"/>
    <w:qFormat/>
    <w:rsid w:val="00AE2DA1"/>
    <w:pPr>
      <w:ind w:left="720"/>
      <w:contextualSpacing/>
    </w:pPr>
  </w:style>
  <w:style w:type="character" w:styleId="IntenseEmphasis">
    <w:name w:val="Intense Emphasis"/>
    <w:basedOn w:val="DefaultParagraphFont"/>
    <w:uiPriority w:val="21"/>
    <w:qFormat/>
    <w:rsid w:val="00AE2DA1"/>
    <w:rPr>
      <w:i/>
      <w:iCs/>
      <w:color w:val="0F4761" w:themeColor="accent1" w:themeShade="BF"/>
    </w:rPr>
  </w:style>
  <w:style w:type="paragraph" w:styleId="IntenseQuote">
    <w:name w:val="Intense Quote"/>
    <w:basedOn w:val="Normal"/>
    <w:next w:val="Normal"/>
    <w:link w:val="IntenseQuoteChar"/>
    <w:uiPriority w:val="30"/>
    <w:qFormat/>
    <w:rsid w:val="00AE2D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2DA1"/>
    <w:rPr>
      <w:i/>
      <w:iCs/>
      <w:color w:val="0F4761" w:themeColor="accent1" w:themeShade="BF"/>
    </w:rPr>
  </w:style>
  <w:style w:type="character" w:styleId="IntenseReference">
    <w:name w:val="Intense Reference"/>
    <w:basedOn w:val="DefaultParagraphFont"/>
    <w:uiPriority w:val="32"/>
    <w:qFormat/>
    <w:rsid w:val="00AE2DA1"/>
    <w:rPr>
      <w:b/>
      <w:bCs/>
      <w:smallCaps/>
      <w:color w:val="0F4761" w:themeColor="accent1" w:themeShade="BF"/>
      <w:spacing w:val="5"/>
    </w:rPr>
  </w:style>
  <w:style w:type="character" w:styleId="Hyperlink">
    <w:name w:val="Hyperlink"/>
    <w:basedOn w:val="DefaultParagraphFont"/>
    <w:uiPriority w:val="99"/>
    <w:unhideWhenUsed/>
    <w:rsid w:val="00504AD5"/>
    <w:rPr>
      <w:color w:val="467886" w:themeColor="hyperlink"/>
      <w:u w:val="single"/>
    </w:rPr>
  </w:style>
  <w:style w:type="character" w:styleId="UnresolvedMention">
    <w:name w:val="Unresolved Mention"/>
    <w:basedOn w:val="DefaultParagraphFont"/>
    <w:uiPriority w:val="99"/>
    <w:semiHidden/>
    <w:unhideWhenUsed/>
    <w:rsid w:val="00504AD5"/>
    <w:rPr>
      <w:color w:val="605E5C"/>
      <w:shd w:val="clear" w:color="auto" w:fill="E1DFDD"/>
    </w:rPr>
  </w:style>
  <w:style w:type="table" w:styleId="TableGridLight">
    <w:name w:val="Grid Table Light"/>
    <w:basedOn w:val="TableNormal"/>
    <w:uiPriority w:val="40"/>
    <w:rsid w:val="003E236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ink.springer.com/article/10.1186/s12879-024-09912-x?utm" TargetMode="External"/><Relationship Id="rId5" Type="http://schemas.openxmlformats.org/officeDocument/2006/relationships/hyperlink" Target="https://pubmed.ncbi.nlm.nih.gov/10432066/?ut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1364</Words>
  <Characters>7781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Zenabu Suboi</dc:creator>
  <cp:keywords/>
  <dc:description/>
  <cp:lastModifiedBy>Zenabu Suboi</cp:lastModifiedBy>
  <cp:revision>4</cp:revision>
  <dcterms:created xsi:type="dcterms:W3CDTF">2026-01-20T10:20:00Z</dcterms:created>
  <dcterms:modified xsi:type="dcterms:W3CDTF">2026-03-17T12:52:00Z</dcterms:modified>
</cp:coreProperties>
</file>