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693E" w14:textId="77777777" w:rsidR="00A92175" w:rsidRPr="00F80899" w:rsidRDefault="00A92175" w:rsidP="00A92175">
      <w:pPr>
        <w:rPr>
          <w:rFonts w:ascii="Arial" w:hAnsi="Arial" w:cs="Arial"/>
        </w:rPr>
      </w:pPr>
      <w:r w:rsidRPr="00F80899">
        <w:rPr>
          <w:rFonts w:ascii="Arial" w:hAnsi="Arial" w:cs="Arial"/>
        </w:rPr>
        <w:t xml:space="preserve">Notes from </w:t>
      </w:r>
      <w:proofErr w:type="spellStart"/>
      <w:r w:rsidRPr="00F80899">
        <w:rPr>
          <w:rFonts w:ascii="Arial" w:hAnsi="Arial" w:cs="Arial"/>
        </w:rPr>
        <w:t>Lukole</w:t>
      </w:r>
      <w:proofErr w:type="spellEnd"/>
      <w:r w:rsidRPr="00F80899">
        <w:rPr>
          <w:rFonts w:ascii="Arial" w:hAnsi="Arial" w:cs="Arial"/>
        </w:rPr>
        <w:t xml:space="preserve"> et al. 2025 - community benefits of 3 LLINs</w:t>
      </w:r>
    </w:p>
    <w:p w14:paraId="10311C42" w14:textId="77777777" w:rsidR="00A92175" w:rsidRPr="00F80899" w:rsidRDefault="00A92175" w:rsidP="00A9217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80899">
        <w:rPr>
          <w:rFonts w:ascii="Arial" w:hAnsi="Arial" w:cs="Arial"/>
        </w:rPr>
        <w:t>minimum coverage levels for community protection in pyrethroid-only nets 15 - 85% - Lines et al. [15]</w:t>
      </w:r>
    </w:p>
    <w:p w14:paraId="4715D450" w14:textId="77777777" w:rsidR="00A92175" w:rsidRPr="00F80899" w:rsidRDefault="00A92175" w:rsidP="00A9217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80899">
        <w:rPr>
          <w:rFonts w:ascii="Arial" w:hAnsi="Arial" w:cs="Arial"/>
        </w:rPr>
        <w:t>Consistent with this, a study conducted in Kenya [32] concluded that at least 35% community coverage of nets is required to protect people sleeping without nets</w:t>
      </w:r>
    </w:p>
    <w:p w14:paraId="2B7ECDB7" w14:textId="77777777" w:rsidR="00A92175" w:rsidRPr="00F80899" w:rsidRDefault="00A92175" w:rsidP="00A92175">
      <w:pPr>
        <w:numPr>
          <w:ilvl w:val="0"/>
          <w:numId w:val="1"/>
        </w:numPr>
        <w:rPr>
          <w:rFonts w:ascii="Arial" w:hAnsi="Arial" w:cs="Arial"/>
        </w:rPr>
      </w:pPr>
      <w:r w:rsidRPr="00F80899">
        <w:rPr>
          <w:rFonts w:ascii="Arial" w:hAnsi="Arial" w:cs="Arial"/>
        </w:rPr>
        <w:t>Lindblade et al. [33] found that community net usage (&gt; 82%) protected both users and non-users equally.</w:t>
      </w:r>
    </w:p>
    <w:p w14:paraId="3AA6B85A" w14:textId="77777777" w:rsidR="00A92175" w:rsidRPr="00F80899" w:rsidRDefault="00A92175" w:rsidP="00A92175">
      <w:pPr>
        <w:rPr>
          <w:rFonts w:ascii="Arial" w:hAnsi="Arial" w:cs="Arial"/>
        </w:rPr>
      </w:pPr>
      <w:r w:rsidRPr="00F80899">
        <w:rPr>
          <w:rFonts w:ascii="Arial" w:hAnsi="Arial" w:cs="Arial"/>
        </w:rPr>
        <w:t>models have also been used to estimate the threshold of usage necessary to elicit community protection:</w:t>
      </w:r>
    </w:p>
    <w:p w14:paraId="28FB2A7D" w14:textId="77777777" w:rsidR="00A92175" w:rsidRPr="00F80899" w:rsidRDefault="00A92175" w:rsidP="00A9217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80899">
        <w:rPr>
          <w:rFonts w:ascii="Arial" w:hAnsi="Arial" w:cs="Arial"/>
        </w:rPr>
        <w:t>Killeen et al. [7] modelled that coverage of 35–65% would be needed to</w:t>
      </w:r>
    </w:p>
    <w:p w14:paraId="4699D66D" w14:textId="77777777" w:rsidR="00A92175" w:rsidRPr="00F80899" w:rsidRDefault="00A92175" w:rsidP="00A9217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F80899">
        <w:rPr>
          <w:rFonts w:ascii="Arial" w:hAnsi="Arial" w:cs="Arial"/>
        </w:rPr>
        <w:t xml:space="preserve">achieve community-wide benefits. </w:t>
      </w:r>
    </w:p>
    <w:p w14:paraId="16C3E559" w14:textId="77777777" w:rsidR="00A92175" w:rsidRPr="00F80899" w:rsidRDefault="00A92175" w:rsidP="00A92175">
      <w:pPr>
        <w:numPr>
          <w:ilvl w:val="0"/>
          <w:numId w:val="1"/>
        </w:numPr>
        <w:rPr>
          <w:rFonts w:ascii="Arial" w:hAnsi="Arial" w:cs="Arial"/>
        </w:rPr>
      </w:pPr>
      <w:r w:rsidRPr="00F80899">
        <w:rPr>
          <w:rFonts w:ascii="Arial" w:hAnsi="Arial" w:cs="Arial"/>
        </w:rPr>
        <w:t>Another model [23] suggested that as soon as one person uses an LLIN, there is a small indirect impact on non-users (even if marginal) compared to a hypothetical scenario where nobody is</w:t>
      </w:r>
      <w:r>
        <w:rPr>
          <w:rFonts w:ascii="Arial" w:hAnsi="Arial" w:cs="Arial"/>
        </w:rPr>
        <w:t xml:space="preserve"> using net – our results fall within their range </w:t>
      </w:r>
    </w:p>
    <w:p w14:paraId="74424153" w14:textId="77777777" w:rsidR="00A92175" w:rsidRPr="00F80899" w:rsidRDefault="00A92175" w:rsidP="00A92175">
      <w:pPr>
        <w:rPr>
          <w:rFonts w:ascii="Arial" w:hAnsi="Arial" w:cs="Arial"/>
        </w:rPr>
      </w:pPr>
      <w:r w:rsidRPr="00F80899">
        <w:rPr>
          <w:rFonts w:ascii="Arial" w:hAnsi="Arial" w:cs="Arial"/>
        </w:rPr>
        <w:t>indirect protection is achieved early and diminishes or plateaus as usage increases hence can be achieved even with moderate coverage</w:t>
      </w:r>
    </w:p>
    <w:p w14:paraId="2CD0FD9F" w14:textId="77777777" w:rsidR="00A92175" w:rsidRPr="00F80899" w:rsidRDefault="00A92175" w:rsidP="00A92175">
      <w:pPr>
        <w:rPr>
          <w:rFonts w:ascii="Arial" w:hAnsi="Arial" w:cs="Arial"/>
        </w:rPr>
      </w:pPr>
      <w:r w:rsidRPr="00F80899">
        <w:rPr>
          <w:rFonts w:ascii="Arial" w:hAnsi="Arial" w:cs="Arial"/>
        </w:rPr>
        <w:t>“</w:t>
      </w:r>
      <w:proofErr w:type="gramStart"/>
      <w:r w:rsidRPr="00F80899">
        <w:rPr>
          <w:rFonts w:ascii="Arial" w:hAnsi="Arial" w:cs="Arial"/>
        </w:rPr>
        <w:t>when</w:t>
      </w:r>
      <w:proofErr w:type="gramEnd"/>
      <w:r w:rsidRPr="00F80899">
        <w:rPr>
          <w:rFonts w:ascii="Arial" w:hAnsi="Arial" w:cs="Arial"/>
        </w:rPr>
        <w:t xml:space="preserve"> a net is very effective, as observed for </w:t>
      </w:r>
      <w:proofErr w:type="spellStart"/>
      <w:r w:rsidRPr="00F80899">
        <w:rPr>
          <w:rFonts w:ascii="Arial" w:hAnsi="Arial" w:cs="Arial"/>
        </w:rPr>
        <w:t>chlorfenapyr</w:t>
      </w:r>
      <w:proofErr w:type="spellEnd"/>
      <w:r w:rsidRPr="00F80899">
        <w:rPr>
          <w:rFonts w:ascii="Arial" w:hAnsi="Arial" w:cs="Arial"/>
        </w:rPr>
        <w:t xml:space="preserve"> LLINs, both users and</w:t>
      </w:r>
    </w:p>
    <w:p w14:paraId="689E88F6" w14:textId="77777777" w:rsidR="00A92175" w:rsidRPr="00F80899" w:rsidRDefault="00A92175" w:rsidP="00A92175">
      <w:pPr>
        <w:rPr>
          <w:rFonts w:ascii="Arial" w:hAnsi="Arial" w:cs="Arial"/>
        </w:rPr>
      </w:pPr>
      <w:r w:rsidRPr="00F80899">
        <w:rPr>
          <w:rFonts w:ascii="Arial" w:hAnsi="Arial" w:cs="Arial"/>
        </w:rPr>
        <w:t>non-users are protected even at moderate to low levels of community coverage.” - for IG2 in our case</w:t>
      </w:r>
    </w:p>
    <w:p w14:paraId="11AA4540" w14:textId="77777777" w:rsidR="00A32A8B" w:rsidRDefault="00A32A8B"/>
    <w:sectPr w:rsidR="00A32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33BB6"/>
    <w:multiLevelType w:val="multilevel"/>
    <w:tmpl w:val="FDAAFD7A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2650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75"/>
    <w:rsid w:val="000250DA"/>
    <w:rsid w:val="00461928"/>
    <w:rsid w:val="004E4A64"/>
    <w:rsid w:val="008D7E33"/>
    <w:rsid w:val="0090052E"/>
    <w:rsid w:val="00960630"/>
    <w:rsid w:val="00A32A8B"/>
    <w:rsid w:val="00A9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76AD"/>
  <w15:chartTrackingRefBased/>
  <w15:docId w15:val="{3666047A-D665-46D8-A5CB-A24196D1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175"/>
    <w:rPr>
      <w:rFonts w:ascii="Aptos" w:eastAsia="Aptos" w:hAnsi="Aptos" w:cs="Aptos"/>
      <w:kern w:val="0"/>
      <w:lang w:eastAsia="en-C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</cp:revision>
  <dcterms:created xsi:type="dcterms:W3CDTF">2026-06-24T08:00:00Z</dcterms:created>
  <dcterms:modified xsi:type="dcterms:W3CDTF">2026-06-24T10:00:00Z</dcterms:modified>
</cp:coreProperties>
</file>