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38A" w:rsidRPr="00BC3547" w:rsidRDefault="0093538A" w:rsidP="00BC3547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BC3547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Assignment 6B: Abstract </w:t>
      </w:r>
      <w:r w:rsidR="002B1EE4" w:rsidRPr="00BC3547">
        <w:rPr>
          <w:rFonts w:ascii="Arial" w:hAnsi="Arial" w:cs="Arial"/>
          <w:b/>
          <w:sz w:val="24"/>
          <w:szCs w:val="24"/>
          <w:u w:val="single"/>
          <w:lang w:val="en-US"/>
        </w:rPr>
        <w:t>(</w:t>
      </w:r>
      <w:r w:rsidRPr="00BC3547">
        <w:rPr>
          <w:rFonts w:ascii="Arial" w:hAnsi="Arial" w:cs="Arial"/>
          <w:b/>
          <w:sz w:val="24"/>
          <w:szCs w:val="24"/>
          <w:u w:val="single"/>
          <w:lang w:val="en-US"/>
        </w:rPr>
        <w:t>for Conference</w:t>
      </w:r>
      <w:r w:rsidR="002B1EE4" w:rsidRPr="00BC3547">
        <w:rPr>
          <w:rFonts w:ascii="Arial" w:hAnsi="Arial" w:cs="Arial"/>
          <w:b/>
          <w:sz w:val="24"/>
          <w:szCs w:val="24"/>
          <w:u w:val="single"/>
          <w:lang w:val="en-US"/>
        </w:rPr>
        <w:t>)</w:t>
      </w:r>
    </w:p>
    <w:p w:rsidR="006A3DCD" w:rsidRPr="00BC3547" w:rsidRDefault="0093538A" w:rsidP="00BC3547">
      <w:pPr>
        <w:rPr>
          <w:rFonts w:ascii="Arial" w:hAnsi="Arial" w:cs="Arial"/>
          <w:b/>
          <w:sz w:val="24"/>
          <w:szCs w:val="24"/>
          <w:lang w:val="en-US"/>
        </w:rPr>
      </w:pPr>
      <w:r w:rsidRPr="00BC3547">
        <w:rPr>
          <w:rFonts w:ascii="Arial" w:hAnsi="Arial" w:cs="Arial"/>
          <w:b/>
          <w:sz w:val="24"/>
          <w:szCs w:val="24"/>
          <w:lang w:val="en-US"/>
        </w:rPr>
        <w:t>Title</w:t>
      </w:r>
      <w:r w:rsidR="003123E0" w:rsidRPr="00BC3547">
        <w:rPr>
          <w:rFonts w:ascii="Arial" w:hAnsi="Arial" w:cs="Arial"/>
          <w:b/>
          <w:sz w:val="24"/>
          <w:szCs w:val="24"/>
          <w:lang w:val="en-US"/>
        </w:rPr>
        <w:t xml:space="preserve">: </w:t>
      </w:r>
      <w:r w:rsidRPr="00BC3547">
        <w:rPr>
          <w:rFonts w:ascii="Arial" w:hAnsi="Arial" w:cs="Arial"/>
          <w:b/>
          <w:sz w:val="24"/>
          <w:szCs w:val="24"/>
          <w:lang w:val="en-US"/>
        </w:rPr>
        <w:t xml:space="preserve">Understanding </w:t>
      </w:r>
      <w:r w:rsidR="003123E0">
        <w:rPr>
          <w:rFonts w:ascii="Arial" w:hAnsi="Arial" w:cs="Arial"/>
          <w:b/>
          <w:sz w:val="24"/>
          <w:szCs w:val="24"/>
          <w:lang w:val="en-US"/>
        </w:rPr>
        <w:t>t</w:t>
      </w:r>
      <w:r w:rsidR="003123E0" w:rsidRPr="00BC3547">
        <w:rPr>
          <w:rFonts w:ascii="Arial" w:hAnsi="Arial" w:cs="Arial"/>
          <w:b/>
          <w:sz w:val="24"/>
          <w:szCs w:val="24"/>
          <w:lang w:val="en-US"/>
        </w:rPr>
        <w:t xml:space="preserve">he </w:t>
      </w:r>
      <w:r w:rsidRPr="00BC3547">
        <w:rPr>
          <w:rFonts w:ascii="Arial" w:hAnsi="Arial" w:cs="Arial"/>
          <w:b/>
          <w:sz w:val="24"/>
          <w:szCs w:val="24"/>
          <w:lang w:val="en-US"/>
        </w:rPr>
        <w:t xml:space="preserve">Key </w:t>
      </w:r>
      <w:r w:rsidR="003123E0">
        <w:rPr>
          <w:rFonts w:ascii="Arial" w:hAnsi="Arial" w:cs="Arial"/>
          <w:b/>
          <w:sz w:val="24"/>
          <w:szCs w:val="24"/>
          <w:lang w:val="en-US"/>
        </w:rPr>
        <w:t>Drivers of Impact o</w:t>
      </w:r>
      <w:r w:rsidR="003123E0" w:rsidRPr="00BC3547">
        <w:rPr>
          <w:rFonts w:ascii="Arial" w:hAnsi="Arial" w:cs="Arial"/>
          <w:b/>
          <w:sz w:val="24"/>
          <w:szCs w:val="24"/>
          <w:lang w:val="en-US"/>
        </w:rPr>
        <w:t>f Malaria Intervention</w:t>
      </w:r>
      <w:r w:rsidR="003123E0">
        <w:rPr>
          <w:rFonts w:ascii="Arial" w:hAnsi="Arial" w:cs="Arial"/>
          <w:b/>
          <w:sz w:val="24"/>
          <w:szCs w:val="24"/>
          <w:lang w:val="en-US"/>
        </w:rPr>
        <w:t>s i</w:t>
      </w:r>
      <w:r w:rsidR="003123E0" w:rsidRPr="00BC3547">
        <w:rPr>
          <w:rFonts w:ascii="Arial" w:hAnsi="Arial" w:cs="Arial"/>
          <w:b/>
          <w:sz w:val="24"/>
          <w:szCs w:val="24"/>
          <w:lang w:val="en-US"/>
        </w:rPr>
        <w:t xml:space="preserve">n </w:t>
      </w:r>
      <w:r w:rsidRPr="00BC3547">
        <w:rPr>
          <w:rFonts w:ascii="Arial" w:hAnsi="Arial" w:cs="Arial"/>
          <w:b/>
          <w:sz w:val="24"/>
          <w:szCs w:val="24"/>
          <w:lang w:val="en-US"/>
        </w:rPr>
        <w:t>Ghana</w:t>
      </w: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  <w:r w:rsidRPr="00BC3547">
        <w:rPr>
          <w:rFonts w:ascii="Arial" w:eastAsia="Times New Roman" w:hAnsi="Arial" w:cs="Arial"/>
          <w:b/>
          <w:sz w:val="24"/>
          <w:szCs w:val="24"/>
          <w:lang w:val="en-US" w:eastAsia="de-CH"/>
        </w:rPr>
        <w:t>Background: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93538A" w:rsidRPr="00BC3547">
        <w:rPr>
          <w:rFonts w:ascii="Arial" w:eastAsia="Times New Roman" w:hAnsi="Arial" w:cs="Arial"/>
          <w:sz w:val="24"/>
          <w:szCs w:val="24"/>
          <w:lang w:val="en-US" w:eastAsia="de-CH"/>
        </w:rPr>
        <w:t>M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alaria remains a major public health concern</w:t>
      </w:r>
      <w:r w:rsidR="0093538A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in Ghana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, contrib</w:t>
      </w:r>
      <w:r w:rsidR="0093538A" w:rsidRPr="00BC3547">
        <w:rPr>
          <w:rFonts w:ascii="Arial" w:eastAsia="Times New Roman" w:hAnsi="Arial" w:cs="Arial"/>
          <w:sz w:val="24"/>
          <w:szCs w:val="24"/>
          <w:lang w:val="en-US" w:eastAsia="de-CH"/>
        </w:rPr>
        <w:t>uting to 40% of outpatient cases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. As malaria transmission is highly heterogeneous across the country, a more targeted response is required. One goal outlined in Ghana’s current National Malaria Elimination Strategic Plan (NMESP) is to reduce clinical incidence by 50% by 2028. Understanding the key drivers of intervention impact</w:t>
      </w:r>
      <w:r w:rsidR="00F504F2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on malaria </w:t>
      </w:r>
      <w:bookmarkStart w:id="0" w:name="_GoBack"/>
      <w:bookmarkEnd w:id="0"/>
      <w:r w:rsidR="00F504F2">
        <w:rPr>
          <w:rFonts w:ascii="Arial" w:eastAsia="Times New Roman" w:hAnsi="Arial" w:cs="Arial"/>
          <w:sz w:val="24"/>
          <w:szCs w:val="24"/>
          <w:lang w:val="en-US" w:eastAsia="de-CH"/>
        </w:rPr>
        <w:t>incidence reduction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at the district level is crucial to achieving this</w:t>
      </w:r>
      <w:r w:rsidR="00F42AAD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goal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. </w:t>
      </w: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  <w:r w:rsidRPr="00BC3547">
        <w:rPr>
          <w:rFonts w:ascii="Arial" w:eastAsia="Times New Roman" w:hAnsi="Arial" w:cs="Arial"/>
          <w:b/>
          <w:sz w:val="24"/>
          <w:szCs w:val="24"/>
          <w:lang w:val="en-US" w:eastAsia="de-CH"/>
        </w:rPr>
        <w:t>Methods: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To simulate malaria incidence in Ghana, we parameterized the individual-based model </w:t>
      </w:r>
      <w:proofErr w:type="spellStart"/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OpenMalaria</w:t>
      </w:r>
      <w:proofErr w:type="spellEnd"/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to reflect district-specific intervention combinations from the NMESP. 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Using variance-based sensitivity analysis, we</w:t>
      </w:r>
      <w:r w:rsidR="0093538A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systematically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evaluated the relative importance of key intervention parameters on incidence reduction from 2023 to 2026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. </w:t>
      </w:r>
    </w:p>
    <w:p w:rsidR="004348B2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  <w:r w:rsidRPr="00BC3547">
        <w:rPr>
          <w:rFonts w:ascii="Arial" w:eastAsia="Times New Roman" w:hAnsi="Arial" w:cs="Arial"/>
          <w:b/>
          <w:sz w:val="24"/>
          <w:szCs w:val="24"/>
          <w:lang w:val="en-US" w:eastAsia="de-CH"/>
        </w:rPr>
        <w:t>Results: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While insecticide-treated </w:t>
      </w:r>
      <w:proofErr w:type="spellStart"/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bednets</w:t>
      </w:r>
      <w:proofErr w:type="spellEnd"/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(ITNs) were generally the most impactful</w:t>
      </w:r>
      <w:r w:rsidR="000F0D0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(0.9-1)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, the sensitivity analysis revealed substantial heterogeneity across districts. In areas with several interventions co-deployed, ITN coverage was the dominant contributor to variability in impact</w:t>
      </w:r>
      <w:r w:rsidR="00B82E23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B82E23">
        <w:rPr>
          <w:rFonts w:ascii="Arial" w:eastAsia="Times New Roman" w:hAnsi="Arial" w:cs="Arial"/>
          <w:sz w:val="24"/>
          <w:szCs w:val="24"/>
          <w:lang w:val="en-US" w:eastAsia="de-CH"/>
        </w:rPr>
        <w:t>(</w:t>
      </w:r>
      <w:r w:rsidR="00594D99">
        <w:rPr>
          <w:rFonts w:ascii="Arial" w:eastAsia="Times New Roman" w:hAnsi="Arial" w:cs="Arial"/>
          <w:sz w:val="24"/>
          <w:szCs w:val="24"/>
          <w:lang w:val="en-US" w:eastAsia="de-CH"/>
        </w:rPr>
        <w:t>0.75</w:t>
      </w:r>
      <w:r w:rsidR="00B82E23">
        <w:rPr>
          <w:rFonts w:ascii="Arial" w:eastAsia="Times New Roman" w:hAnsi="Arial" w:cs="Arial"/>
          <w:sz w:val="24"/>
          <w:szCs w:val="24"/>
          <w:lang w:val="en-US" w:eastAsia="de-CH"/>
        </w:rPr>
        <w:t>-1)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, followed by coverage of</w:t>
      </w:r>
      <w:r w:rsidR="000C711E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0C711E" w:rsidRPr="00BC3547">
        <w:rPr>
          <w:rFonts w:ascii="Arial" w:eastAsia="Times New Roman" w:hAnsi="Arial" w:cs="Arial"/>
          <w:sz w:val="24"/>
          <w:szCs w:val="24"/>
          <w:lang w:val="en-US" w:eastAsia="de-CH"/>
        </w:rPr>
        <w:t>seasonal malaria chemoprevention</w:t>
      </w:r>
      <w:r w:rsidR="000C711E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(0.1-0.6),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indoor residual spraying </w:t>
      </w:r>
      <w:r w:rsidR="00B82E23">
        <w:rPr>
          <w:rFonts w:ascii="Arial" w:eastAsia="Times New Roman" w:hAnsi="Arial" w:cs="Arial"/>
          <w:sz w:val="24"/>
          <w:szCs w:val="24"/>
          <w:lang w:val="en-US" w:eastAsia="de-CH"/>
        </w:rPr>
        <w:t>(</w:t>
      </w:r>
      <w:r w:rsidR="00B82E23">
        <w:rPr>
          <w:rFonts w:ascii="Arial" w:eastAsia="Times New Roman" w:hAnsi="Arial" w:cs="Arial"/>
          <w:sz w:val="24"/>
          <w:szCs w:val="24"/>
          <w:lang w:val="en-US" w:eastAsia="de-CH"/>
        </w:rPr>
        <w:t>0.1-0.3</w:t>
      </w:r>
      <w:r w:rsidR="00B82E23">
        <w:rPr>
          <w:rFonts w:ascii="Arial" w:eastAsia="Times New Roman" w:hAnsi="Arial" w:cs="Arial"/>
          <w:sz w:val="24"/>
          <w:szCs w:val="24"/>
          <w:lang w:val="en-US" w:eastAsia="de-CH"/>
        </w:rPr>
        <w:t>)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>, and malaria vaccine</w:t>
      </w:r>
      <w:r w:rsidR="00B82E23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(0-0.02)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. </w:t>
      </w:r>
    </w:p>
    <w:p w:rsidR="006A3DCD" w:rsidRPr="00BC3547" w:rsidRDefault="004348B2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  <w:r w:rsidRPr="00BC3547">
        <w:rPr>
          <w:rFonts w:ascii="Arial" w:eastAsia="Times New Roman" w:hAnsi="Arial" w:cs="Arial"/>
          <w:b/>
          <w:sz w:val="24"/>
          <w:szCs w:val="24"/>
          <w:lang w:val="en-US" w:eastAsia="de-CH"/>
        </w:rPr>
        <w:t>Conclusions:</w:t>
      </w:r>
      <w:r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This </w:t>
      </w:r>
      <w:r w:rsidR="00545D9D">
        <w:rPr>
          <w:rFonts w:ascii="Arial" w:eastAsia="Times New Roman" w:hAnsi="Arial" w:cs="Arial"/>
          <w:sz w:val="24"/>
          <w:szCs w:val="24"/>
          <w:lang w:val="en-US" w:eastAsia="de-CH"/>
        </w:rPr>
        <w:t>work</w:t>
      </w:r>
      <w:r w:rsidR="006A3DCD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highlights the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050AB9">
        <w:rPr>
          <w:rFonts w:ascii="Arial" w:eastAsia="Times New Roman" w:hAnsi="Arial" w:cs="Arial"/>
          <w:sz w:val="24"/>
          <w:szCs w:val="24"/>
          <w:lang w:val="en-US" w:eastAsia="de-CH"/>
        </w:rPr>
        <w:t>local</w:t>
      </w:r>
      <w:r w:rsidR="00B44A98" w:rsidRPr="00BC354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drivers </w:t>
      </w:r>
      <w:r w:rsidR="00545D9D">
        <w:rPr>
          <w:rFonts w:ascii="Arial" w:eastAsia="Times New Roman" w:hAnsi="Arial" w:cs="Arial"/>
          <w:sz w:val="24"/>
          <w:szCs w:val="24"/>
          <w:lang w:val="en-US" w:eastAsia="de-CH"/>
        </w:rPr>
        <w:t>of</w:t>
      </w:r>
      <w:r w:rsidR="00050AB9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050AB9">
        <w:rPr>
          <w:rFonts w:ascii="Arial" w:eastAsia="Times New Roman" w:hAnsi="Arial" w:cs="Arial"/>
          <w:sz w:val="24"/>
          <w:szCs w:val="24"/>
          <w:lang w:val="en-US" w:eastAsia="de-CH"/>
        </w:rPr>
        <w:t>impact</w:t>
      </w:r>
      <w:r w:rsidR="00050AB9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of</w:t>
      </w:r>
      <w:r w:rsidR="00545D9D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050AB9">
        <w:rPr>
          <w:rFonts w:ascii="Arial" w:eastAsia="Times New Roman" w:hAnsi="Arial" w:cs="Arial"/>
          <w:sz w:val="24"/>
          <w:szCs w:val="24"/>
          <w:lang w:val="en-US" w:eastAsia="de-CH"/>
        </w:rPr>
        <w:t>malaria interventions</w:t>
      </w:r>
      <w:r w:rsidR="00F23581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and the need for geographically tailored strategies based on these drivers. These findings ca</w:t>
      </w:r>
      <w:r w:rsidR="007976A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n </w:t>
      </w:r>
      <w:r w:rsidR="00050AB9">
        <w:rPr>
          <w:rFonts w:ascii="Arial" w:eastAsia="Times New Roman" w:hAnsi="Arial" w:cs="Arial"/>
          <w:sz w:val="24"/>
          <w:szCs w:val="24"/>
          <w:lang w:val="en-US" w:eastAsia="de-CH"/>
        </w:rPr>
        <w:t>help in guiding</w:t>
      </w:r>
      <w:r w:rsidR="00F23581">
        <w:rPr>
          <w:rFonts w:ascii="Arial" w:eastAsia="Times New Roman" w:hAnsi="Arial" w:cs="Arial"/>
          <w:sz w:val="24"/>
          <w:szCs w:val="24"/>
          <w:lang w:val="en-US" w:eastAsia="de-CH"/>
        </w:rPr>
        <w:t xml:space="preserve"> </w:t>
      </w:r>
      <w:r w:rsidR="00050AB9">
        <w:rPr>
          <w:rFonts w:ascii="Arial" w:eastAsia="Times New Roman" w:hAnsi="Arial" w:cs="Arial"/>
          <w:sz w:val="24"/>
          <w:szCs w:val="24"/>
          <w:lang w:val="en-US" w:eastAsia="de-CH"/>
        </w:rPr>
        <w:t>district-level m</w:t>
      </w:r>
      <w:r w:rsidR="007976A7">
        <w:rPr>
          <w:rFonts w:ascii="Arial" w:eastAsia="Times New Roman" w:hAnsi="Arial" w:cs="Arial"/>
          <w:sz w:val="24"/>
          <w:szCs w:val="24"/>
          <w:lang w:val="en-US" w:eastAsia="de-CH"/>
        </w:rPr>
        <w:t xml:space="preserve">alaria </w:t>
      </w:r>
      <w:r w:rsidR="00050AB9">
        <w:rPr>
          <w:rFonts w:ascii="Arial" w:eastAsia="Times New Roman" w:hAnsi="Arial" w:cs="Arial"/>
          <w:sz w:val="24"/>
          <w:szCs w:val="24"/>
          <w:lang w:val="en-US" w:eastAsia="de-CH"/>
        </w:rPr>
        <w:t xml:space="preserve">control </w:t>
      </w:r>
      <w:r w:rsidR="007976A7">
        <w:rPr>
          <w:rFonts w:ascii="Arial" w:eastAsia="Times New Roman" w:hAnsi="Arial" w:cs="Arial"/>
          <w:sz w:val="24"/>
          <w:szCs w:val="24"/>
          <w:lang w:val="en-US" w:eastAsia="de-CH"/>
        </w:rPr>
        <w:t>planning</w:t>
      </w:r>
      <w:r w:rsidR="00F23581">
        <w:rPr>
          <w:rFonts w:ascii="Arial" w:eastAsia="Times New Roman" w:hAnsi="Arial" w:cs="Arial"/>
          <w:sz w:val="24"/>
          <w:szCs w:val="24"/>
          <w:lang w:val="en-US" w:eastAsia="de-CH"/>
        </w:rPr>
        <w:t xml:space="preserve">. </w:t>
      </w:r>
      <w:r w:rsidR="006A3DCD" w:rsidRPr="00BC3547">
        <w:rPr>
          <w:rFonts w:ascii="Arial" w:eastAsia="Times New Roman" w:hAnsi="Arial" w:cs="Arial"/>
          <w:sz w:val="24"/>
          <w:szCs w:val="24"/>
          <w:lang w:val="en-US" w:eastAsia="de-CH"/>
        </w:rPr>
        <w:t>Future work will expand the sensitivity analysis to include intervention efficacy and geography-specific parameters.</w:t>
      </w: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</w:p>
    <w:p w:rsidR="006A3DCD" w:rsidRPr="00BC3547" w:rsidRDefault="006A3DCD" w:rsidP="00BC35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e-CH"/>
        </w:rPr>
      </w:pPr>
    </w:p>
    <w:p w:rsidR="00031E58" w:rsidRPr="00BC3547" w:rsidRDefault="00031E58" w:rsidP="00BC3547">
      <w:pPr>
        <w:rPr>
          <w:rFonts w:ascii="Arial" w:hAnsi="Arial" w:cs="Arial"/>
          <w:lang w:val="en-US"/>
        </w:rPr>
      </w:pPr>
    </w:p>
    <w:sectPr w:rsidR="00031E58" w:rsidRPr="00BC3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DCD"/>
    <w:rsid w:val="00031E58"/>
    <w:rsid w:val="00050AB9"/>
    <w:rsid w:val="000C711E"/>
    <w:rsid w:val="000D2A6B"/>
    <w:rsid w:val="000F0D07"/>
    <w:rsid w:val="002B1EE4"/>
    <w:rsid w:val="003123E0"/>
    <w:rsid w:val="004348B2"/>
    <w:rsid w:val="00545D9D"/>
    <w:rsid w:val="00594D99"/>
    <w:rsid w:val="005F3383"/>
    <w:rsid w:val="00621D70"/>
    <w:rsid w:val="006A3DCD"/>
    <w:rsid w:val="007976A7"/>
    <w:rsid w:val="008E4480"/>
    <w:rsid w:val="0093538A"/>
    <w:rsid w:val="00A05E25"/>
    <w:rsid w:val="00B44A98"/>
    <w:rsid w:val="00B82E23"/>
    <w:rsid w:val="00BC3547"/>
    <w:rsid w:val="00C54617"/>
    <w:rsid w:val="00C629A2"/>
    <w:rsid w:val="00CF39A2"/>
    <w:rsid w:val="00DD79C2"/>
    <w:rsid w:val="00F23581"/>
    <w:rsid w:val="00F42AAD"/>
    <w:rsid w:val="00F5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BD5A5B8"/>
  <w15:chartTrackingRefBased/>
  <w15:docId w15:val="{BEB8FB5F-23A3-4A7A-9C0D-2E75C991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1521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20</cp:revision>
  <dcterms:created xsi:type="dcterms:W3CDTF">2025-05-19T09:42:00Z</dcterms:created>
  <dcterms:modified xsi:type="dcterms:W3CDTF">2025-05-19T15:02:00Z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e0067e9a-26d4-48a2-bcda-47f0dedf425e</vt:lpwstr>
  </property>
</Properties>
</file>