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8839" w14:textId="6F164908" w:rsidR="00502E3B" w:rsidRPr="00502E3B" w:rsidRDefault="00502E3B" w:rsidP="00502E3B">
      <w:pPr>
        <w:jc w:val="center"/>
        <w:rPr>
          <w:rFonts w:ascii="Arial" w:hAnsi="Arial" w:cs="Arial"/>
          <w:b/>
          <w:u w:val="single"/>
          <w:lang w:val="en-US"/>
        </w:rPr>
      </w:pPr>
      <w:r w:rsidRPr="00BC3547">
        <w:rPr>
          <w:rFonts w:ascii="Arial" w:hAnsi="Arial" w:cs="Arial"/>
          <w:b/>
          <w:u w:val="single"/>
          <w:lang w:val="en-US"/>
        </w:rPr>
        <w:t>Assignment 6B: Abstract (for Conference)</w:t>
      </w:r>
    </w:p>
    <w:p w14:paraId="7A8F1FA6" w14:textId="75E2CF79" w:rsidR="008957E8" w:rsidRDefault="008957E8">
      <w:r w:rsidRPr="00502E3B">
        <w:rPr>
          <w:b/>
          <w:bCs/>
        </w:rPr>
        <w:t>Title:</w:t>
      </w:r>
      <w:r>
        <w:t xml:space="preserve"> </w:t>
      </w:r>
      <w:r w:rsidRPr="008957E8">
        <w:t>An analysis of the key drivers influencing the impact of malaria interventions in Ghana</w:t>
      </w:r>
    </w:p>
    <w:p w14:paraId="6A344AD6" w14:textId="77777777" w:rsidR="008957E8" w:rsidRPr="00BC3547" w:rsidRDefault="008957E8" w:rsidP="008957E8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de-CH"/>
        </w:rPr>
      </w:pPr>
      <w:r w:rsidRPr="00BC3547">
        <w:rPr>
          <w:rFonts w:ascii="Arial" w:eastAsia="Times New Roman" w:hAnsi="Arial" w:cs="Arial"/>
          <w:b/>
          <w:lang w:val="en-US" w:eastAsia="de-CH"/>
        </w:rPr>
        <w:t>Background:</w:t>
      </w:r>
      <w:r w:rsidRPr="00BC3547">
        <w:rPr>
          <w:rFonts w:ascii="Arial" w:eastAsia="Times New Roman" w:hAnsi="Arial" w:cs="Arial"/>
          <w:lang w:val="en-US" w:eastAsia="de-CH"/>
        </w:rPr>
        <w:t xml:space="preserve"> Malaria remains a major public health concern in Ghana, contributing to 40% of outpatient cases. As malaria transmission is highly heterogeneous across the country, a more targeted response is required. One goal outlined in Ghana’s current National Malaria Elimination Strategic Plan (NMESP) is to reduce clinical incidence by 50% by 2028. Understanding the key drivers of intervention impact</w:t>
      </w:r>
      <w:r>
        <w:rPr>
          <w:rFonts w:ascii="Arial" w:eastAsia="Times New Roman" w:hAnsi="Arial" w:cs="Arial"/>
          <w:lang w:val="en-US" w:eastAsia="de-CH"/>
        </w:rPr>
        <w:t xml:space="preserve"> on malaria incidence reduction</w:t>
      </w:r>
      <w:r w:rsidRPr="00BC3547">
        <w:rPr>
          <w:rFonts w:ascii="Arial" w:eastAsia="Times New Roman" w:hAnsi="Arial" w:cs="Arial"/>
          <w:lang w:val="en-US" w:eastAsia="de-CH"/>
        </w:rPr>
        <w:t xml:space="preserve"> at the district level is crucial to achieving this</w:t>
      </w:r>
      <w:r>
        <w:rPr>
          <w:rFonts w:ascii="Arial" w:eastAsia="Times New Roman" w:hAnsi="Arial" w:cs="Arial"/>
          <w:lang w:val="en-US" w:eastAsia="de-CH"/>
        </w:rPr>
        <w:t xml:space="preserve"> goal</w:t>
      </w:r>
      <w:r w:rsidRPr="00BC3547">
        <w:rPr>
          <w:rFonts w:ascii="Arial" w:eastAsia="Times New Roman" w:hAnsi="Arial" w:cs="Arial"/>
          <w:lang w:val="en-US" w:eastAsia="de-CH"/>
        </w:rPr>
        <w:t xml:space="preserve">. </w:t>
      </w:r>
    </w:p>
    <w:p w14:paraId="7327DA51" w14:textId="77777777" w:rsidR="008957E8" w:rsidRPr="00BC3547" w:rsidRDefault="008957E8" w:rsidP="008957E8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de-CH"/>
        </w:rPr>
      </w:pPr>
      <w:r w:rsidRPr="00BC3547">
        <w:rPr>
          <w:rFonts w:ascii="Arial" w:eastAsia="Times New Roman" w:hAnsi="Arial" w:cs="Arial"/>
          <w:b/>
          <w:lang w:val="en-US" w:eastAsia="de-CH"/>
        </w:rPr>
        <w:t>Methods:</w:t>
      </w:r>
      <w:r w:rsidRPr="00BC3547">
        <w:rPr>
          <w:rFonts w:ascii="Arial" w:eastAsia="Times New Roman" w:hAnsi="Arial" w:cs="Arial"/>
          <w:lang w:val="en-US" w:eastAsia="de-CH"/>
        </w:rPr>
        <w:t xml:space="preserve"> To simulate malaria incidence in Ghana, we parameterized the individual-based model </w:t>
      </w:r>
      <w:proofErr w:type="spellStart"/>
      <w:r w:rsidRPr="00BC3547">
        <w:rPr>
          <w:rFonts w:ascii="Arial" w:eastAsia="Times New Roman" w:hAnsi="Arial" w:cs="Arial"/>
          <w:lang w:val="en-US" w:eastAsia="de-CH"/>
        </w:rPr>
        <w:t>OpenMalaria</w:t>
      </w:r>
      <w:proofErr w:type="spellEnd"/>
      <w:r w:rsidRPr="00BC3547">
        <w:rPr>
          <w:rFonts w:ascii="Arial" w:eastAsia="Times New Roman" w:hAnsi="Arial" w:cs="Arial"/>
          <w:lang w:val="en-US" w:eastAsia="de-CH"/>
        </w:rPr>
        <w:t xml:space="preserve"> to reflect district-specific intervention combinations from the NMESP. Using variance-based sensitivity analysis, we systematically evaluated the relative importance of key intervention parameters on incidence reduction from 2023 to 2026. </w:t>
      </w:r>
    </w:p>
    <w:p w14:paraId="5AEF48D0" w14:textId="77777777" w:rsidR="008957E8" w:rsidRPr="00BC3547" w:rsidRDefault="008957E8" w:rsidP="008957E8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de-CH"/>
        </w:rPr>
      </w:pPr>
      <w:r w:rsidRPr="00BC3547">
        <w:rPr>
          <w:rFonts w:ascii="Arial" w:eastAsia="Times New Roman" w:hAnsi="Arial" w:cs="Arial"/>
          <w:b/>
          <w:lang w:val="en-US" w:eastAsia="de-CH"/>
        </w:rPr>
        <w:t>Results:</w:t>
      </w:r>
      <w:r w:rsidRPr="00BC3547">
        <w:rPr>
          <w:rFonts w:ascii="Arial" w:eastAsia="Times New Roman" w:hAnsi="Arial" w:cs="Arial"/>
          <w:lang w:val="en-US" w:eastAsia="de-CH"/>
        </w:rPr>
        <w:t xml:space="preserve"> While insecticide-treated </w:t>
      </w:r>
      <w:proofErr w:type="spellStart"/>
      <w:r w:rsidRPr="00BC3547">
        <w:rPr>
          <w:rFonts w:ascii="Arial" w:eastAsia="Times New Roman" w:hAnsi="Arial" w:cs="Arial"/>
          <w:lang w:val="en-US" w:eastAsia="de-CH"/>
        </w:rPr>
        <w:t>bednets</w:t>
      </w:r>
      <w:proofErr w:type="spellEnd"/>
      <w:r w:rsidRPr="00BC3547">
        <w:rPr>
          <w:rFonts w:ascii="Arial" w:eastAsia="Times New Roman" w:hAnsi="Arial" w:cs="Arial"/>
          <w:lang w:val="en-US" w:eastAsia="de-CH"/>
        </w:rPr>
        <w:t xml:space="preserve"> (ITNs) were generally the most impactful</w:t>
      </w:r>
      <w:r>
        <w:rPr>
          <w:rFonts w:ascii="Arial" w:eastAsia="Times New Roman" w:hAnsi="Arial" w:cs="Arial"/>
          <w:lang w:val="en-US" w:eastAsia="de-CH"/>
        </w:rPr>
        <w:t xml:space="preserve"> (0.9-1)</w:t>
      </w:r>
      <w:r w:rsidRPr="00BC3547">
        <w:rPr>
          <w:rFonts w:ascii="Arial" w:eastAsia="Times New Roman" w:hAnsi="Arial" w:cs="Arial"/>
          <w:lang w:val="en-US" w:eastAsia="de-CH"/>
        </w:rPr>
        <w:t>, the sensitivity analysis revealed substantial heterogeneity across districts. In areas with several interventions co-deployed, ITN coverage was the dominant contributor to variability in impact</w:t>
      </w:r>
      <w:r>
        <w:rPr>
          <w:rFonts w:ascii="Arial" w:eastAsia="Times New Roman" w:hAnsi="Arial" w:cs="Arial"/>
          <w:lang w:val="en-US" w:eastAsia="de-CH"/>
        </w:rPr>
        <w:t xml:space="preserve"> (0.75-1)</w:t>
      </w:r>
      <w:r w:rsidRPr="00BC3547">
        <w:rPr>
          <w:rFonts w:ascii="Arial" w:eastAsia="Times New Roman" w:hAnsi="Arial" w:cs="Arial"/>
          <w:lang w:val="en-US" w:eastAsia="de-CH"/>
        </w:rPr>
        <w:t>, followed by coverage of</w:t>
      </w:r>
      <w:r>
        <w:rPr>
          <w:rFonts w:ascii="Arial" w:eastAsia="Times New Roman" w:hAnsi="Arial" w:cs="Arial"/>
          <w:lang w:val="en-US" w:eastAsia="de-CH"/>
        </w:rPr>
        <w:t xml:space="preserve"> </w:t>
      </w:r>
      <w:r w:rsidRPr="00BC3547">
        <w:rPr>
          <w:rFonts w:ascii="Arial" w:eastAsia="Times New Roman" w:hAnsi="Arial" w:cs="Arial"/>
          <w:lang w:val="en-US" w:eastAsia="de-CH"/>
        </w:rPr>
        <w:t>seasonal malaria chemoprevention</w:t>
      </w:r>
      <w:r>
        <w:rPr>
          <w:rFonts w:ascii="Arial" w:eastAsia="Times New Roman" w:hAnsi="Arial" w:cs="Arial"/>
          <w:lang w:val="en-US" w:eastAsia="de-CH"/>
        </w:rPr>
        <w:t xml:space="preserve"> (0.1-0.6),</w:t>
      </w:r>
      <w:r w:rsidRPr="00BC3547">
        <w:rPr>
          <w:rFonts w:ascii="Arial" w:eastAsia="Times New Roman" w:hAnsi="Arial" w:cs="Arial"/>
          <w:lang w:val="en-US" w:eastAsia="de-CH"/>
        </w:rPr>
        <w:t xml:space="preserve"> indoor residual spraying </w:t>
      </w:r>
      <w:r>
        <w:rPr>
          <w:rFonts w:ascii="Arial" w:eastAsia="Times New Roman" w:hAnsi="Arial" w:cs="Arial"/>
          <w:lang w:val="en-US" w:eastAsia="de-CH"/>
        </w:rPr>
        <w:t>(0.1-0.3)</w:t>
      </w:r>
      <w:r w:rsidRPr="00BC3547">
        <w:rPr>
          <w:rFonts w:ascii="Arial" w:eastAsia="Times New Roman" w:hAnsi="Arial" w:cs="Arial"/>
          <w:lang w:val="en-US" w:eastAsia="de-CH"/>
        </w:rPr>
        <w:t>, and malaria vaccine</w:t>
      </w:r>
      <w:r>
        <w:rPr>
          <w:rFonts w:ascii="Arial" w:eastAsia="Times New Roman" w:hAnsi="Arial" w:cs="Arial"/>
          <w:lang w:val="en-US" w:eastAsia="de-CH"/>
        </w:rPr>
        <w:t xml:space="preserve"> (0-0.02)</w:t>
      </w:r>
      <w:r w:rsidRPr="00BC3547">
        <w:rPr>
          <w:rFonts w:ascii="Arial" w:eastAsia="Times New Roman" w:hAnsi="Arial" w:cs="Arial"/>
          <w:lang w:val="en-US" w:eastAsia="de-CH"/>
        </w:rPr>
        <w:t xml:space="preserve">. </w:t>
      </w:r>
    </w:p>
    <w:p w14:paraId="28C94947" w14:textId="56C1B1E3" w:rsidR="008957E8" w:rsidRPr="00BC3547" w:rsidRDefault="008957E8" w:rsidP="008957E8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de-CH"/>
        </w:rPr>
      </w:pPr>
      <w:r w:rsidRPr="00BC3547">
        <w:rPr>
          <w:rFonts w:ascii="Arial" w:eastAsia="Times New Roman" w:hAnsi="Arial" w:cs="Arial"/>
          <w:b/>
          <w:lang w:val="en-US" w:eastAsia="de-CH"/>
        </w:rPr>
        <w:t>Conclusions:</w:t>
      </w:r>
      <w:r w:rsidRPr="00BC3547">
        <w:rPr>
          <w:rFonts w:ascii="Arial" w:eastAsia="Times New Roman" w:hAnsi="Arial" w:cs="Arial"/>
          <w:lang w:val="en-US" w:eastAsia="de-CH"/>
        </w:rPr>
        <w:t xml:space="preserve"> This</w:t>
      </w:r>
      <w:r>
        <w:rPr>
          <w:rFonts w:ascii="Arial" w:eastAsia="Times New Roman" w:hAnsi="Arial" w:cs="Arial"/>
          <w:lang w:val="en-US" w:eastAsia="de-CH"/>
        </w:rPr>
        <w:t xml:space="preserve"> study h</w:t>
      </w:r>
      <w:r w:rsidRPr="00BC3547">
        <w:rPr>
          <w:rFonts w:ascii="Arial" w:eastAsia="Times New Roman" w:hAnsi="Arial" w:cs="Arial"/>
          <w:lang w:val="en-US" w:eastAsia="de-CH"/>
        </w:rPr>
        <w:t xml:space="preserve">ighlights the </w:t>
      </w:r>
      <w:r>
        <w:rPr>
          <w:rFonts w:ascii="Arial" w:eastAsia="Times New Roman" w:hAnsi="Arial" w:cs="Arial"/>
          <w:lang w:val="en-US" w:eastAsia="de-CH"/>
        </w:rPr>
        <w:t>local</w:t>
      </w:r>
      <w:r w:rsidRPr="00BC3547">
        <w:rPr>
          <w:rFonts w:ascii="Arial" w:eastAsia="Times New Roman" w:hAnsi="Arial" w:cs="Arial"/>
          <w:lang w:val="en-US" w:eastAsia="de-CH"/>
        </w:rPr>
        <w:t xml:space="preserve"> drivers </w:t>
      </w:r>
      <w:r>
        <w:rPr>
          <w:rFonts w:ascii="Arial" w:eastAsia="Times New Roman" w:hAnsi="Arial" w:cs="Arial"/>
          <w:lang w:val="en-US" w:eastAsia="de-CH"/>
        </w:rPr>
        <w:t>that impact malaria interventions and the need for geographically tailored strategies based on these drivers.</w:t>
      </w:r>
      <w:r>
        <w:rPr>
          <w:rFonts w:ascii="Arial" w:eastAsia="Times New Roman" w:hAnsi="Arial" w:cs="Arial"/>
          <w:lang w:val="en-US" w:eastAsia="de-CH"/>
        </w:rPr>
        <w:t xml:space="preserve"> </w:t>
      </w:r>
      <w:r w:rsidRPr="008957E8">
        <w:rPr>
          <w:rFonts w:ascii="Arial" w:eastAsia="Times New Roman" w:hAnsi="Arial" w:cs="Arial"/>
          <w:lang w:eastAsia="de-CH"/>
        </w:rPr>
        <w:t>The findings can inform malaria control planning at the district level.</w:t>
      </w:r>
      <w:r>
        <w:rPr>
          <w:rFonts w:ascii="Arial" w:eastAsia="Times New Roman" w:hAnsi="Arial" w:cs="Arial"/>
          <w:lang w:val="en-US" w:eastAsia="de-CH"/>
        </w:rPr>
        <w:t xml:space="preserve"> </w:t>
      </w:r>
      <w:r w:rsidRPr="00BC3547">
        <w:rPr>
          <w:rFonts w:ascii="Arial" w:eastAsia="Times New Roman" w:hAnsi="Arial" w:cs="Arial"/>
          <w:lang w:val="en-US" w:eastAsia="de-CH"/>
        </w:rPr>
        <w:t xml:space="preserve">Future </w:t>
      </w:r>
      <w:r>
        <w:rPr>
          <w:rFonts w:ascii="Arial" w:eastAsia="Times New Roman" w:hAnsi="Arial" w:cs="Arial"/>
          <w:lang w:val="en-US" w:eastAsia="de-CH"/>
        </w:rPr>
        <w:t>research</w:t>
      </w:r>
      <w:r>
        <w:rPr>
          <w:rFonts w:ascii="Arial" w:eastAsia="Times New Roman" w:hAnsi="Arial" w:cs="Arial"/>
          <w:lang w:val="en-US" w:eastAsia="de-CH"/>
        </w:rPr>
        <w:t xml:space="preserve"> could</w:t>
      </w:r>
      <w:r w:rsidRPr="00BC3547">
        <w:rPr>
          <w:rFonts w:ascii="Arial" w:eastAsia="Times New Roman" w:hAnsi="Arial" w:cs="Arial"/>
          <w:lang w:val="en-US" w:eastAsia="de-CH"/>
        </w:rPr>
        <w:t xml:space="preserve"> expand the sensitivity analysis to include intervention efficacy and geography-specific parameters.</w:t>
      </w:r>
    </w:p>
    <w:p w14:paraId="1D1FDB7F" w14:textId="77777777" w:rsidR="008957E8" w:rsidRPr="008957E8" w:rsidRDefault="008957E8">
      <w:pPr>
        <w:rPr>
          <w:lang w:val="en-US"/>
        </w:rPr>
      </w:pPr>
    </w:p>
    <w:sectPr w:rsidR="008957E8" w:rsidRPr="00895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E8"/>
    <w:rsid w:val="00502E3B"/>
    <w:rsid w:val="008957E8"/>
    <w:rsid w:val="009F334C"/>
    <w:rsid w:val="00D46493"/>
    <w:rsid w:val="00D8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9022"/>
  <w15:chartTrackingRefBased/>
  <w15:docId w15:val="{05D1E7CC-8AB0-4F51-84F4-556DEEBE4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7E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957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957E8"/>
    <w:pPr>
      <w:spacing w:line="240" w:lineRule="auto"/>
    </w:pPr>
    <w:rPr>
      <w:kern w:val="0"/>
      <w:sz w:val="20"/>
      <w:szCs w:val="20"/>
      <w:lang w:val="de-CH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957E8"/>
    <w:rPr>
      <w:kern w:val="0"/>
      <w:sz w:val="20"/>
      <w:szCs w:val="20"/>
      <w:lang w:val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1</cp:revision>
  <dcterms:created xsi:type="dcterms:W3CDTF">2025-06-11T11:58:00Z</dcterms:created>
  <dcterms:modified xsi:type="dcterms:W3CDTF">2025-06-11T12:41:00Z</dcterms:modified>
</cp:coreProperties>
</file>