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19C0" w14:textId="438D3CD5" w:rsidR="002A0AB3" w:rsidRPr="007D0172" w:rsidRDefault="002A0AB3" w:rsidP="007D0172">
      <w:pPr>
        <w:pStyle w:val="Heading1"/>
        <w:spacing w:line="360" w:lineRule="auto"/>
        <w:rPr>
          <w:rFonts w:ascii="Times New Roman" w:hAnsi="Times New Roman" w:cs="Times New Roman"/>
          <w:sz w:val="24"/>
          <w:szCs w:val="24"/>
          <w:lang w:val="en-US"/>
        </w:rPr>
      </w:pPr>
      <w:r w:rsidRPr="007D0172">
        <w:rPr>
          <w:rFonts w:ascii="Times New Roman" w:hAnsi="Times New Roman" w:cs="Times New Roman"/>
          <w:sz w:val="24"/>
          <w:szCs w:val="24"/>
          <w:lang w:val="en-US"/>
        </w:rPr>
        <w:t>Research Topic</w:t>
      </w:r>
      <w:r w:rsidR="00A75533" w:rsidRPr="007D0172">
        <w:rPr>
          <w:rFonts w:ascii="Times New Roman" w:hAnsi="Times New Roman" w:cs="Times New Roman"/>
          <w:sz w:val="24"/>
          <w:szCs w:val="24"/>
          <w:lang w:val="en-US"/>
        </w:rPr>
        <w:t>1</w:t>
      </w:r>
      <w:r w:rsidRPr="007D0172">
        <w:rPr>
          <w:rFonts w:ascii="Times New Roman" w:hAnsi="Times New Roman" w:cs="Times New Roman"/>
          <w:sz w:val="24"/>
          <w:szCs w:val="24"/>
          <w:lang w:val="en-US"/>
        </w:rPr>
        <w:t>: Understanding the Key Drivers of Impact of Malaria Interventions in Ghana: A Sensitivity Analysis</w:t>
      </w:r>
    </w:p>
    <w:p w14:paraId="4E0B598A" w14:textId="77777777" w:rsidR="0044396D" w:rsidRPr="007D0172" w:rsidRDefault="0044396D" w:rsidP="007D0172">
      <w:pPr>
        <w:autoSpaceDE w:val="0"/>
        <w:autoSpaceDN w:val="0"/>
        <w:adjustRightInd w:val="0"/>
        <w:spacing w:after="0" w:line="360" w:lineRule="auto"/>
        <w:rPr>
          <w:rFonts w:ascii="Times New Roman" w:hAnsi="Times New Roman" w:cs="Times New Roman"/>
          <w:bCs/>
          <w:sz w:val="24"/>
          <w:szCs w:val="24"/>
          <w:lang w:val="en-US"/>
        </w:rPr>
      </w:pPr>
    </w:p>
    <w:p w14:paraId="776BD60B" w14:textId="42490F94" w:rsidR="0098071A" w:rsidRPr="007D0172" w:rsidRDefault="00A75533" w:rsidP="007D0172">
      <w:pPr>
        <w:spacing w:line="360" w:lineRule="auto"/>
        <w:rPr>
          <w:rFonts w:ascii="Times New Roman" w:hAnsi="Times New Roman" w:cs="Times New Roman"/>
          <w:bCs/>
          <w:sz w:val="24"/>
          <w:szCs w:val="24"/>
          <w:lang w:val="en-US"/>
        </w:rPr>
      </w:pPr>
      <w:r w:rsidRPr="007D0172">
        <w:rPr>
          <w:rFonts w:ascii="Times New Roman" w:hAnsi="Times New Roman" w:cs="Times New Roman"/>
          <w:b/>
          <w:sz w:val="24"/>
          <w:szCs w:val="24"/>
          <w:lang w:val="en-US"/>
        </w:rPr>
        <w:t>Research Topic</w:t>
      </w:r>
      <w:r w:rsidR="00D97A92" w:rsidRPr="007D0172">
        <w:rPr>
          <w:rFonts w:ascii="Times New Roman" w:hAnsi="Times New Roman" w:cs="Times New Roman"/>
          <w:b/>
          <w:sz w:val="24"/>
          <w:szCs w:val="24"/>
          <w:lang w:val="en-US"/>
        </w:rPr>
        <w:t>2</w:t>
      </w:r>
      <w:r w:rsidRPr="007D0172">
        <w:rPr>
          <w:rFonts w:ascii="Times New Roman" w:hAnsi="Times New Roman" w:cs="Times New Roman"/>
          <w:bCs/>
          <w:sz w:val="24"/>
          <w:szCs w:val="24"/>
          <w:lang w:val="en-US"/>
        </w:rPr>
        <w:t xml:space="preserve">: </w:t>
      </w:r>
      <w:r w:rsidR="0044396D" w:rsidRPr="007D0172">
        <w:rPr>
          <w:rFonts w:ascii="Times New Roman" w:hAnsi="Times New Roman" w:cs="Times New Roman"/>
          <w:bCs/>
          <w:sz w:val="24"/>
          <w:szCs w:val="24"/>
          <w:lang w:val="en-US"/>
        </w:rPr>
        <w:t xml:space="preserve">Modeling </w:t>
      </w:r>
      <w:r w:rsidR="00330E61" w:rsidRPr="007D0172">
        <w:rPr>
          <w:rFonts w:ascii="Times New Roman" w:hAnsi="Times New Roman" w:cs="Times New Roman"/>
          <w:bCs/>
          <w:sz w:val="24"/>
          <w:szCs w:val="24"/>
          <w:lang w:val="en-US"/>
        </w:rPr>
        <w:t xml:space="preserve">and Global Sensitivity Analysis </w:t>
      </w:r>
      <w:r w:rsidR="00F36BC0" w:rsidRPr="007D0172">
        <w:rPr>
          <w:rFonts w:ascii="Times New Roman" w:hAnsi="Times New Roman" w:cs="Times New Roman"/>
          <w:bCs/>
          <w:sz w:val="24"/>
          <w:szCs w:val="24"/>
          <w:lang w:val="en-US"/>
        </w:rPr>
        <w:t>of Malaria Intervention</w:t>
      </w:r>
      <w:r w:rsidR="00FC5165" w:rsidRPr="007D0172">
        <w:rPr>
          <w:rFonts w:ascii="Times New Roman" w:hAnsi="Times New Roman" w:cs="Times New Roman"/>
          <w:bCs/>
          <w:sz w:val="24"/>
          <w:szCs w:val="24"/>
          <w:lang w:val="en-US"/>
        </w:rPr>
        <w:t>s</w:t>
      </w:r>
      <w:r w:rsidR="00F36BC0" w:rsidRPr="007D0172">
        <w:rPr>
          <w:rFonts w:ascii="Times New Roman" w:hAnsi="Times New Roman" w:cs="Times New Roman"/>
          <w:bCs/>
          <w:sz w:val="24"/>
          <w:szCs w:val="24"/>
          <w:lang w:val="en-US"/>
        </w:rPr>
        <w:t xml:space="preserve"> for</w:t>
      </w:r>
      <w:r w:rsidR="0044396D" w:rsidRPr="007D0172">
        <w:rPr>
          <w:rFonts w:ascii="Times New Roman" w:hAnsi="Times New Roman" w:cs="Times New Roman"/>
          <w:bCs/>
          <w:sz w:val="24"/>
          <w:szCs w:val="24"/>
          <w:lang w:val="en-US"/>
        </w:rPr>
        <w:t xml:space="preserve"> </w:t>
      </w:r>
      <w:r w:rsidR="00330E61" w:rsidRPr="007D0172">
        <w:rPr>
          <w:rFonts w:ascii="Times New Roman" w:hAnsi="Times New Roman" w:cs="Times New Roman"/>
          <w:bCs/>
          <w:sz w:val="24"/>
          <w:szCs w:val="24"/>
          <w:lang w:val="en-US"/>
        </w:rPr>
        <w:t>D</w:t>
      </w:r>
      <w:r w:rsidR="0044396D" w:rsidRPr="007D0172">
        <w:rPr>
          <w:rFonts w:ascii="Times New Roman" w:hAnsi="Times New Roman" w:cs="Times New Roman"/>
          <w:bCs/>
          <w:sz w:val="24"/>
          <w:szCs w:val="24"/>
          <w:lang w:val="en-US"/>
        </w:rPr>
        <w:t>ecision-making in a</w:t>
      </w:r>
      <w:r w:rsidR="00330E61" w:rsidRPr="007D0172">
        <w:rPr>
          <w:rFonts w:ascii="Times New Roman" w:hAnsi="Times New Roman" w:cs="Times New Roman"/>
          <w:bCs/>
          <w:sz w:val="24"/>
          <w:szCs w:val="24"/>
          <w:lang w:val="en-US"/>
        </w:rPr>
        <w:t xml:space="preserve"> Limited Funding Era</w:t>
      </w:r>
      <w:r w:rsidR="0044396D" w:rsidRPr="007D0172">
        <w:rPr>
          <w:rFonts w:ascii="Times New Roman" w:hAnsi="Times New Roman" w:cs="Times New Roman"/>
          <w:bCs/>
          <w:sz w:val="24"/>
          <w:szCs w:val="24"/>
          <w:lang w:val="en-US"/>
        </w:rPr>
        <w:t xml:space="preserve"> </w:t>
      </w:r>
    </w:p>
    <w:p w14:paraId="59808589" w14:textId="23BDCF02" w:rsidR="009E5A6D" w:rsidRPr="007D0172" w:rsidRDefault="009E5A6D" w:rsidP="007D0172">
      <w:pPr>
        <w:spacing w:line="360" w:lineRule="auto"/>
        <w:rPr>
          <w:rFonts w:ascii="Times New Roman" w:hAnsi="Times New Roman" w:cs="Times New Roman"/>
          <w:bCs/>
          <w:sz w:val="24"/>
          <w:szCs w:val="24"/>
          <w:lang w:val="en-US"/>
        </w:rPr>
      </w:pPr>
      <w:r w:rsidRPr="007D0172">
        <w:rPr>
          <w:rFonts w:ascii="Times New Roman" w:hAnsi="Times New Roman" w:cs="Times New Roman"/>
          <w:b/>
          <w:sz w:val="24"/>
          <w:szCs w:val="24"/>
          <w:lang w:val="en-US"/>
        </w:rPr>
        <w:t>Research Topic2</w:t>
      </w:r>
      <w:r w:rsidRPr="007D0172">
        <w:rPr>
          <w:rFonts w:ascii="Times New Roman" w:hAnsi="Times New Roman" w:cs="Times New Roman"/>
          <w:bCs/>
          <w:sz w:val="24"/>
          <w:szCs w:val="24"/>
          <w:lang w:val="en-US"/>
        </w:rPr>
        <w:t>: Model-based Impact and Sensitivity Analysis of Malaria Interventions Under Resource Constraints in Ghana</w:t>
      </w:r>
    </w:p>
    <w:p w14:paraId="5B84526B" w14:textId="6C533145" w:rsidR="009E5A6D" w:rsidRPr="007D0172" w:rsidRDefault="009E5A6D" w:rsidP="007D0172">
      <w:pPr>
        <w:spacing w:line="360" w:lineRule="auto"/>
        <w:rPr>
          <w:rFonts w:ascii="Times New Roman" w:hAnsi="Times New Roman" w:cs="Times New Roman"/>
          <w:b/>
          <w:bCs/>
          <w:sz w:val="24"/>
          <w:szCs w:val="24"/>
          <w:lang w:val="en-US"/>
        </w:rPr>
      </w:pPr>
      <w:r w:rsidRPr="007D0172">
        <w:rPr>
          <w:rFonts w:ascii="Times New Roman" w:hAnsi="Times New Roman" w:cs="Times New Roman"/>
          <w:b/>
          <w:bCs/>
          <w:sz w:val="24"/>
          <w:szCs w:val="24"/>
          <w:lang w:val="en-US"/>
        </w:rPr>
        <w:t xml:space="preserve">Author(s): </w:t>
      </w:r>
      <w:r w:rsidRPr="007D0172">
        <w:rPr>
          <w:rFonts w:ascii="Times New Roman" w:hAnsi="Times New Roman" w:cs="Times New Roman"/>
          <w:b/>
          <w:bCs/>
          <w:sz w:val="24"/>
          <w:szCs w:val="24"/>
          <w:lang w:val="en-US"/>
        </w:rPr>
        <w:t>Zenabu Suboi</w:t>
      </w:r>
      <w:r w:rsidRPr="007D0172">
        <w:rPr>
          <w:rFonts w:ascii="Times New Roman" w:hAnsi="Times New Roman" w:cs="Times New Roman"/>
          <w:b/>
          <w:bCs/>
          <w:sz w:val="24"/>
          <w:szCs w:val="24"/>
          <w:lang w:val="en-US"/>
        </w:rPr>
        <w:t xml:space="preserve">, </w:t>
      </w:r>
      <w:r w:rsidRPr="007D0172">
        <w:rPr>
          <w:rFonts w:ascii="Times New Roman" w:hAnsi="Times New Roman" w:cs="Times New Roman"/>
          <w:b/>
          <w:bCs/>
          <w:sz w:val="24"/>
          <w:szCs w:val="24"/>
          <w:lang w:val="en-US"/>
        </w:rPr>
        <w:t>Samuel Oppong,</w:t>
      </w:r>
      <w:r w:rsidR="0038367E" w:rsidRPr="007D0172">
        <w:rPr>
          <w:rFonts w:ascii="Times New Roman" w:hAnsi="Times New Roman" w:cs="Times New Roman"/>
          <w:b/>
          <w:bCs/>
          <w:sz w:val="24"/>
          <w:szCs w:val="24"/>
          <w:lang w:val="en-US"/>
        </w:rPr>
        <w:t xml:space="preserve"> Keziah Malm,</w:t>
      </w:r>
      <w:r w:rsidRPr="007D0172">
        <w:rPr>
          <w:rFonts w:ascii="Times New Roman" w:hAnsi="Times New Roman" w:cs="Times New Roman"/>
          <w:b/>
          <w:bCs/>
          <w:sz w:val="24"/>
          <w:szCs w:val="24"/>
          <w:lang w:val="en-US"/>
        </w:rPr>
        <w:t xml:space="preserve"> Emilie Pothin, Christian Selinger</w:t>
      </w:r>
    </w:p>
    <w:p w14:paraId="0314DC1F" w14:textId="3FC09E43" w:rsidR="009E5A6D" w:rsidRPr="007D0172" w:rsidRDefault="009E5A6D" w:rsidP="007D0172">
      <w:pPr>
        <w:spacing w:line="360" w:lineRule="auto"/>
        <w:rPr>
          <w:rFonts w:ascii="Times New Roman" w:hAnsi="Times New Roman" w:cs="Times New Roman"/>
          <w:bCs/>
          <w:sz w:val="24"/>
          <w:szCs w:val="24"/>
          <w:lang w:val="en-US"/>
        </w:rPr>
      </w:pPr>
      <w:r w:rsidRPr="007D0172">
        <w:rPr>
          <w:rFonts w:ascii="Times New Roman" w:hAnsi="Times New Roman" w:cs="Times New Roman"/>
          <w:b/>
          <w:bCs/>
          <w:sz w:val="24"/>
          <w:szCs w:val="24"/>
          <w:lang w:val="en-US"/>
        </w:rPr>
        <w:t>Affiliation:</w:t>
      </w:r>
      <w:r w:rsidRPr="007D0172">
        <w:rPr>
          <w:rFonts w:ascii="Times New Roman" w:hAnsi="Times New Roman" w:cs="Times New Roman"/>
          <w:b/>
          <w:bCs/>
          <w:sz w:val="24"/>
          <w:szCs w:val="24"/>
          <w:lang w:val="en-US"/>
        </w:rPr>
        <w:t xml:space="preserve"> 1 Swiss Tropical and public Health Institute</w:t>
      </w:r>
      <w:r w:rsidRPr="007D0172">
        <w:rPr>
          <w:rFonts w:ascii="Times New Roman" w:hAnsi="Times New Roman" w:cs="Times New Roman"/>
          <w:b/>
          <w:bCs/>
          <w:sz w:val="24"/>
          <w:szCs w:val="24"/>
          <w:lang w:val="en-US"/>
        </w:rPr>
        <w:t xml:space="preserve">, [Department], </w:t>
      </w:r>
      <w:r w:rsidRPr="007D0172">
        <w:rPr>
          <w:rFonts w:ascii="Times New Roman" w:hAnsi="Times New Roman" w:cs="Times New Roman"/>
          <w:b/>
          <w:bCs/>
          <w:sz w:val="24"/>
          <w:szCs w:val="24"/>
          <w:lang w:val="en-US"/>
        </w:rPr>
        <w:t>Basel</w:t>
      </w:r>
      <w:r w:rsidRPr="007D0172">
        <w:rPr>
          <w:rFonts w:ascii="Times New Roman" w:hAnsi="Times New Roman" w:cs="Times New Roman"/>
          <w:b/>
          <w:bCs/>
          <w:sz w:val="24"/>
          <w:szCs w:val="24"/>
          <w:lang w:val="en-US"/>
        </w:rPr>
        <w:t xml:space="preserve">, </w:t>
      </w:r>
      <w:r w:rsidRPr="007D0172">
        <w:rPr>
          <w:rFonts w:ascii="Times New Roman" w:hAnsi="Times New Roman" w:cs="Times New Roman"/>
          <w:b/>
          <w:bCs/>
          <w:sz w:val="24"/>
          <w:szCs w:val="24"/>
          <w:lang w:val="en-US"/>
        </w:rPr>
        <w:t>Switzerland</w:t>
      </w:r>
      <w:r w:rsidRPr="007D0172">
        <w:rPr>
          <w:rFonts w:ascii="Times New Roman" w:hAnsi="Times New Roman" w:cs="Times New Roman"/>
          <w:b/>
          <w:bCs/>
          <w:sz w:val="24"/>
          <w:szCs w:val="24"/>
          <w:lang w:val="en-US"/>
        </w:rPr>
        <w:br/>
        <w:t xml:space="preserve">Corresponding Author: </w:t>
      </w:r>
      <w:r w:rsidRPr="007D0172">
        <w:rPr>
          <w:rFonts w:ascii="Times New Roman" w:hAnsi="Times New Roman" w:cs="Times New Roman"/>
          <w:b/>
          <w:bCs/>
          <w:sz w:val="24"/>
          <w:szCs w:val="24"/>
          <w:lang w:val="en-US"/>
        </w:rPr>
        <w:t>zenabu.suboi@swisstph.ch</w:t>
      </w:r>
    </w:p>
    <w:p w14:paraId="543DD62A" w14:textId="29FD698A" w:rsidR="00FC5165" w:rsidRPr="007D0172" w:rsidRDefault="00585369" w:rsidP="007D0172">
      <w:pPr>
        <w:pStyle w:val="Heading1"/>
        <w:spacing w:line="360" w:lineRule="auto"/>
        <w:rPr>
          <w:rFonts w:ascii="Times New Roman" w:hAnsi="Times New Roman" w:cs="Times New Roman"/>
          <w:bCs/>
          <w:sz w:val="24"/>
          <w:szCs w:val="24"/>
          <w:lang w:val="en-US"/>
        </w:rPr>
      </w:pPr>
      <w:r w:rsidRPr="007D0172">
        <w:rPr>
          <w:rFonts w:ascii="Times New Roman" w:hAnsi="Times New Roman" w:cs="Times New Roman"/>
          <w:bCs/>
          <w:sz w:val="24"/>
          <w:szCs w:val="24"/>
          <w:lang w:val="en-US"/>
        </w:rPr>
        <w:t>Abstract</w:t>
      </w:r>
    </w:p>
    <w:p w14:paraId="67C09C2D" w14:textId="77777777" w:rsidR="00330E61" w:rsidRPr="007D0172" w:rsidRDefault="00330E61" w:rsidP="007D0172">
      <w:pPr>
        <w:spacing w:line="360" w:lineRule="auto"/>
        <w:rPr>
          <w:rFonts w:ascii="Times New Roman" w:hAnsi="Times New Roman" w:cs="Times New Roman"/>
          <w:bCs/>
          <w:sz w:val="24"/>
          <w:szCs w:val="24"/>
          <w:lang w:val="en-US"/>
        </w:rPr>
      </w:pPr>
    </w:p>
    <w:p w14:paraId="7EFF69F7" w14:textId="44F7C9E4" w:rsidR="0098071A" w:rsidRPr="007D0172" w:rsidRDefault="00CC5D7A" w:rsidP="007D0172">
      <w:pPr>
        <w:pStyle w:val="Heading2"/>
        <w:spacing w:line="360" w:lineRule="auto"/>
        <w:rPr>
          <w:rFonts w:ascii="Times New Roman" w:hAnsi="Times New Roman" w:cs="Times New Roman"/>
          <w:bCs/>
          <w:sz w:val="24"/>
          <w:szCs w:val="24"/>
          <w:lang w:val="en-US"/>
        </w:rPr>
      </w:pPr>
      <w:r w:rsidRPr="007D0172">
        <w:rPr>
          <w:rFonts w:ascii="Times New Roman" w:hAnsi="Times New Roman" w:cs="Times New Roman"/>
          <w:bCs/>
          <w:sz w:val="24"/>
          <w:szCs w:val="24"/>
          <w:lang w:val="en-US"/>
        </w:rPr>
        <w:t>Background</w:t>
      </w:r>
    </w:p>
    <w:p w14:paraId="2791203E" w14:textId="75D2959D" w:rsidR="0098071A" w:rsidRPr="007D0172" w:rsidRDefault="00901D5E" w:rsidP="007D0172">
      <w:pPr>
        <w:pStyle w:val="NormalWeb"/>
        <w:spacing w:line="360" w:lineRule="auto"/>
        <w:rPr>
          <w:bCs/>
        </w:rPr>
      </w:pPr>
      <w:r w:rsidRPr="007D0172">
        <w:rPr>
          <w:bCs/>
          <w:lang w:val="en-US"/>
        </w:rPr>
        <w:t>D</w:t>
      </w:r>
      <w:r w:rsidR="00330E61" w:rsidRPr="007D0172">
        <w:rPr>
          <w:bCs/>
          <w:lang w:val="en-US"/>
        </w:rPr>
        <w:t>espite</w:t>
      </w:r>
      <w:r w:rsidR="00330E61" w:rsidRPr="007D0172">
        <w:rPr>
          <w:bCs/>
        </w:rPr>
        <w:t xml:space="preserve"> </w:t>
      </w:r>
      <w:r w:rsidRPr="007D0172">
        <w:rPr>
          <w:bCs/>
        </w:rPr>
        <w:t>substantial progress made over the past two decades</w:t>
      </w:r>
      <w:r w:rsidRPr="007D0172">
        <w:rPr>
          <w:bCs/>
        </w:rPr>
        <w:t>,</w:t>
      </w:r>
      <w:r w:rsidRPr="007D0172">
        <w:rPr>
          <w:bCs/>
          <w:lang w:val="en-US"/>
        </w:rPr>
        <w:t xml:space="preserve"> </w:t>
      </w:r>
      <w:r w:rsidR="009924E9">
        <w:rPr>
          <w:bCs/>
          <w:lang w:val="en-US"/>
        </w:rPr>
        <w:t xml:space="preserve">malaria </w:t>
      </w:r>
      <w:r w:rsidRPr="007D0172">
        <w:rPr>
          <w:bCs/>
          <w:lang w:val="en-US"/>
        </w:rPr>
        <w:t>remains a major public health challenge</w:t>
      </w:r>
      <w:r w:rsidR="009924E9">
        <w:rPr>
          <w:bCs/>
          <w:lang w:val="en-US"/>
        </w:rPr>
        <w:t xml:space="preserve"> in sub-Saharan Africa, constituting </w:t>
      </w:r>
      <w:r w:rsidR="009924E9" w:rsidRPr="009924E9">
        <w:rPr>
          <w:bCs/>
          <w:highlight w:val="yellow"/>
          <w:lang w:val="en-US"/>
        </w:rPr>
        <w:t>94% and 93%</w:t>
      </w:r>
      <w:r w:rsidR="009924E9">
        <w:rPr>
          <w:bCs/>
          <w:lang w:val="en-US"/>
        </w:rPr>
        <w:t xml:space="preserve"> of global cases and deaths respectively </w:t>
      </w:r>
      <w:r w:rsidR="009924E9">
        <w:rPr>
          <w:bCs/>
          <w:lang w:val="en-US"/>
        </w:rPr>
        <w:fldChar w:fldCharType="begin"/>
      </w:r>
      <w:r w:rsidR="009924E9">
        <w:rPr>
          <w:bCs/>
          <w:lang w:val="en-US"/>
        </w:rPr>
        <w:instrText xml:space="preserve"> ADDIN ZOTERO_ITEM CSL_CITATION {"citationID":"VuA6om8r","properties":{"formattedCitation":"[1]","plainCitation":"[1]","noteIndex":0},"citationItems":[{"id":6309,"uris":["http://zotero.org/users/13629295/items/YMBEPIJ6"],"itemData":{"id":6309,"type":"webpage","abstract":"Each year, WHO’s World malaria report provides a comprehensive and up-to-date assessment of trends in malaria control and elimination across the globe","language":"en","title":"World malaria report 2024","URL":"https://www.who.int/teams/global-malaria-programme/reports/world-malaria-report-2024","accessed":{"date-parts":[["2025",3,28]]}}}],"schema":"https://github.com/citation-style-language/schema/raw/master/csl-citation.json"} </w:instrText>
      </w:r>
      <w:r w:rsidR="009924E9">
        <w:rPr>
          <w:bCs/>
          <w:lang w:val="en-US"/>
        </w:rPr>
        <w:fldChar w:fldCharType="separate"/>
      </w:r>
      <w:r w:rsidR="009924E9" w:rsidRPr="009924E9">
        <w:t>[1]</w:t>
      </w:r>
      <w:r w:rsidR="009924E9">
        <w:rPr>
          <w:bCs/>
          <w:lang w:val="en-US"/>
        </w:rPr>
        <w:fldChar w:fldCharType="end"/>
      </w:r>
      <w:r w:rsidR="009924E9">
        <w:rPr>
          <w:bCs/>
          <w:lang w:val="en-US"/>
        </w:rPr>
        <w:t>.</w:t>
      </w:r>
      <w:r w:rsidRPr="007D0172">
        <w:rPr>
          <w:bCs/>
          <w:lang w:val="en-US"/>
        </w:rPr>
        <w:t xml:space="preserve"> </w:t>
      </w:r>
      <w:r w:rsidRPr="00993CF1">
        <w:rPr>
          <w:bCs/>
          <w:highlight w:val="yellow"/>
          <w:lang w:val="en-US"/>
        </w:rPr>
        <w:t xml:space="preserve">particularly among pregnant women and under-five-year-olds </w:t>
      </w:r>
      <w:r w:rsidRPr="00993CF1">
        <w:rPr>
          <w:bCs/>
          <w:highlight w:val="yellow"/>
          <w:lang w:val="en-US"/>
        </w:rPr>
        <w:fldChar w:fldCharType="begin"/>
      </w:r>
      <w:r w:rsidR="009924E9" w:rsidRPr="00993CF1">
        <w:rPr>
          <w:bCs/>
          <w:highlight w:val="yellow"/>
          <w:lang w:val="en-US"/>
        </w:rPr>
        <w:instrText xml:space="preserve"> ADDIN ZOTERO_ITEM CSL_CITATION {"citationID":"Vj3zQBgm","properties":{"unsorted":false,"formattedCitation":"[2,3]","plainCitation":"[2,3]","noteIndex":0},"citationItems":[{"id":6274,"uris":["http://zotero.org/users/13629295/items/5BEI3AVU"],"itemData":{"id":6274,"type":"webpage","abstract":"Each year, WHO’s World malaria report provides a comprehensive and up-to-date assessment of trends in malaria control and elimination across the globe","language":"en","title":"World malaria report 2023","URL":"https://www.who.int/teams/global-malaria-programme/reports/world-malaria-report-2023","accessed":{"date-parts":[["2024",2,23]]}},"label":"page"},{"id":6282,"uris":["http://zotero.org/users/13629295/items/6E8TU3BM"],"itemData":{"id":6282,"type":"webpage","abstract":"Statistics and facts about malaria in Ghana. Prevalence, cases, map, treatment, risk, deaths and other need to know facts about malaria in Ghana.","container-title":"Severe Malaria Observatory","language":"en","title":"Ghana Malaria Facts","URL":"https://www.severemalaria.org/pays/ghana","accessed":{"date-parts":[["2024",2,23]]}},"label":"page"}],"schema":"https://github.com/citation-style-language/schema/raw/master/csl-citation.json"} </w:instrText>
      </w:r>
      <w:r w:rsidRPr="00993CF1">
        <w:rPr>
          <w:bCs/>
          <w:highlight w:val="yellow"/>
          <w:lang w:val="en-US"/>
        </w:rPr>
        <w:fldChar w:fldCharType="separate"/>
      </w:r>
      <w:r w:rsidR="009924E9" w:rsidRPr="00993CF1">
        <w:rPr>
          <w:highlight w:val="yellow"/>
        </w:rPr>
        <w:t>[2,3]</w:t>
      </w:r>
      <w:r w:rsidRPr="00993CF1">
        <w:rPr>
          <w:bCs/>
          <w:highlight w:val="yellow"/>
          <w:lang w:val="en-US"/>
        </w:rPr>
        <w:fldChar w:fldCharType="end"/>
      </w:r>
      <w:r w:rsidRPr="007D0172">
        <w:rPr>
          <w:bCs/>
          <w:lang w:val="en-US"/>
        </w:rPr>
        <w:t xml:space="preserve">. </w:t>
      </w:r>
      <w:r w:rsidR="0098071A" w:rsidRPr="007D0172">
        <w:rPr>
          <w:bCs/>
        </w:rPr>
        <w:t xml:space="preserve">The implementation of </w:t>
      </w:r>
      <w:r w:rsidR="009924E9">
        <w:rPr>
          <w:bCs/>
        </w:rPr>
        <w:t>core</w:t>
      </w:r>
      <w:r w:rsidR="0098071A" w:rsidRPr="007D0172">
        <w:rPr>
          <w:bCs/>
        </w:rPr>
        <w:t xml:space="preserve"> interventions such as </w:t>
      </w:r>
      <w:r w:rsidR="00993CF1">
        <w:rPr>
          <w:bCs/>
        </w:rPr>
        <w:t>l</w:t>
      </w:r>
      <w:r w:rsidR="009924E9">
        <w:rPr>
          <w:bCs/>
        </w:rPr>
        <w:t xml:space="preserve">ong-lasting </w:t>
      </w:r>
      <w:r w:rsidR="0098071A" w:rsidRPr="007D0172">
        <w:rPr>
          <w:bCs/>
        </w:rPr>
        <w:t>insecticid</w:t>
      </w:r>
      <w:r w:rsidR="00993CF1">
        <w:rPr>
          <w:bCs/>
        </w:rPr>
        <w:t>al</w:t>
      </w:r>
      <w:r w:rsidR="0098071A" w:rsidRPr="007D0172">
        <w:rPr>
          <w:bCs/>
        </w:rPr>
        <w:t xml:space="preserve"> nets (</w:t>
      </w:r>
      <w:r w:rsidR="009924E9">
        <w:rPr>
          <w:bCs/>
        </w:rPr>
        <w:t>LLI</w:t>
      </w:r>
      <w:r w:rsidR="0098071A" w:rsidRPr="007D0172">
        <w:rPr>
          <w:bCs/>
        </w:rPr>
        <w:t xml:space="preserve">Ns), indoor residual spraying (IRS), seasonal malaria chemoprevention (SMC), </w:t>
      </w:r>
      <w:r w:rsidRPr="007D0172">
        <w:rPr>
          <w:bCs/>
        </w:rPr>
        <w:t>and the recent introduction of malaria va</w:t>
      </w:r>
      <w:r w:rsidR="0044396D" w:rsidRPr="007D0172">
        <w:rPr>
          <w:bCs/>
        </w:rPr>
        <w:t>c</w:t>
      </w:r>
      <w:r w:rsidRPr="007D0172">
        <w:rPr>
          <w:bCs/>
        </w:rPr>
        <w:t>cine</w:t>
      </w:r>
      <w:r w:rsidR="0098071A" w:rsidRPr="007D0172">
        <w:rPr>
          <w:bCs/>
        </w:rPr>
        <w:t xml:space="preserve"> has led to significant reductions in malaria morbidity and mortality. Much of this progress has been supported by sustained external funding, including substantial contributions from the </w:t>
      </w:r>
      <w:r w:rsidR="008D05DD" w:rsidRPr="007D0172">
        <w:rPr>
          <w:bCs/>
          <w:lang w:val="en-US"/>
        </w:rPr>
        <w:t>US President’s Malaria Initiative (PMI)</w:t>
      </w:r>
      <w:r w:rsidR="00585215">
        <w:rPr>
          <w:bCs/>
          <w:lang w:val="en-US"/>
        </w:rPr>
        <w:t xml:space="preserve"> </w:t>
      </w:r>
      <w:r w:rsidR="00585215" w:rsidRPr="007D0172">
        <w:rPr>
          <w:bCs/>
        </w:rPr>
        <w:t>since 2005</w:t>
      </w:r>
      <w:r w:rsidR="008D05DD" w:rsidRPr="007D0172">
        <w:rPr>
          <w:bCs/>
          <w:lang w:val="en-US"/>
        </w:rPr>
        <w:t>, under the</w:t>
      </w:r>
      <w:r w:rsidR="008D05DD" w:rsidRPr="007D0172">
        <w:rPr>
          <w:bCs/>
          <w:lang w:val="en-US"/>
        </w:rPr>
        <w:t xml:space="preserve"> </w:t>
      </w:r>
      <w:r w:rsidR="0098071A" w:rsidRPr="007D0172">
        <w:rPr>
          <w:bCs/>
        </w:rPr>
        <w:t>United States Agency for International Development (USAID)</w:t>
      </w:r>
      <w:r w:rsidR="00330E61" w:rsidRPr="007D0172">
        <w:rPr>
          <w:bCs/>
        </w:rPr>
        <w:t xml:space="preserve"> </w:t>
      </w:r>
      <w:r w:rsidR="00585215">
        <w:rPr>
          <w:bCs/>
        </w:rPr>
        <w:fldChar w:fldCharType="begin"/>
      </w:r>
      <w:r w:rsidR="00585215">
        <w:rPr>
          <w:bCs/>
        </w:rPr>
        <w:instrText xml:space="preserve"> ADDIN ZOTERO_ITEM CSL_CITATION {"citationID":"EsiGujOM","properties":{"formattedCitation":"[4]","plainCitation":"[4]","noteIndex":0},"citationItems":[{"id":6318,"uris":["http://zotero.org/users/13629295/items/UJI7FPWT"],"itemData":{"id":6318,"type":"article","abstract":"Background Since its inception in 2005, the President’s Malaria Initiative (PMI) has played a major role in the reductions in malaria morbidity and mortality witnessed across Africa. With the status of PMI funding and operations currently uncertain, this study aimed to quantify the impact that a fully-functioning PMI would have on malaria cases and deaths in Africa during 2025.\nMethods We combined detailed spatio-temporal information on planned 2025 PMI and non-PMI malaria commodity procurement and distribution in Africa with spatio-temporal Bayesian models of intervention coverage and Plasmodium falciparum transmission and burden in Africa. By comparing coverage scenarios with and without planned PMI contributions we estimated the number of malaria cases and deaths PMI would avert in 2025.\nFindings We estimated that business-as-usual PMI contributions to vector control, seasonal chemoprevention, and routine malaria treatment in Africa would avert in 2025 14·9M (95% uncertainty interval 12·5M – 17·8M) malaria cases and 107,000 (71,000 – 166,000) deaths. This represents 12·6% (11·1 – 14·2%) and 39·0% (37·1 – 40·4%), respectively, of the total burden of malaria morbidity and mortality in PMI’s focus geographies across 27 African countries. These estimates do not account for the additional impact of PMI-supported provision of diagnostics or severe case management commodities, nor preventive treatment for pregnant women which would add further to the averted burden.\nInterpretation PMI investment in supporting procurement and distribution of malaria control commodities would translate directly into millions of malaria cases averted and a hundred thousand lives saved across its focus geographies in Africa across 2025.\nFunding National Health and Medical Research Council, Australia\n\nEvidence before this study We searched PubMed on 25 February 2025 with the search term “President’s Malaria Initiative” AND (impact OR evaluation) AND (burden OR malaria cases OR malaria deaths). 102 results were returned, of which four directly addressed the question of PMI-attributable impact on malaria burden across all its focus geographies. One focussed solely on case-management and did not provide quantitative results1. A study focussing on mortality found a strong association between PMI investment and declines in all-cause infant mortality2. Another study used a generalised estimating equation approach to assess PMI’s impact, concluding a strong association between PMI spending and reductions in malaria burden3. A 2017 study used a mechanistic malaria model to estimate PMI’s historic contribution to reductions in malaria morbidity and mortality, with future projections to 20204.\nAdded value of this study In this study we synthesised the most up-to-date information of all-funder volumes of key malaria control interventions (ITN, IRS, ACT, SMC) with PMI data on planned volumes and spatial targeting of funding in 2025 to derive near-real-time projections of malaria control intervention coverage in Africa under two scenarios: a business-as-usual scenario in which PMI commodities procured and distributed as previously planned versus a ‘no-PMI’ scenario in which PMI funding and technical assistance is absent. These scenario-based estimates of coverage were propagated through an empirical geospatial malaria model, coupled to mechanistic models of clinical incidence, in order to estimate the number of malaria infections, clinical cases, and deaths PMI activities could expect to avert in Africa in 2025.\nImplications of all available evidence PMI is a key contributor to malaria control efforts in Africa, and as such its impact on averting childhood mortality has been demonstrated repeatedly. Here, using empirically-derived estimates of malaria control impact, combined with detailed scenarios of intervention coverage with- and without-PMI support, we isolated the contemporary impact of PMI activities on malaria morbidity and mortality in Africa in 2025. Our findings suggest that PMI support is critical to maintaining suppression of malaria transmission in its focus geographies.","DOI":"10.1101/2025.02.28.25323072","language":"en","license":"© 2025, Posted by Cold Spring Harbor Laboratory. This pre-print is available under a Creative Commons License (Attribution 4.0 International), CC BY 4.0, as described at http://creativecommons.org/licenses/by/4.0/","publisher":"medRxiv","source":"medRxiv","title":"Estimating the potential malaria morbidity and mortality avertable by the President’s Malaria Initiative in 2025: a geospatial modelling analysis","title-short":"Estimating the potential malaria morbidity and mortality avertable by the President’s Malaria Initiative in 2025","URL":"https://www.medrxiv.org/content/10.1101/2025.02.28.25323072v1","author":[{"family":"Symons","given":"Tasmin L."},{"family":"Lubinda","given":"Jailos"},{"family":"McPhail","given":"Michael"},{"family":"Saddler","given":"Adam"},{"family":"Berg","given":"Mauricio","dropping-particle":"van den"},{"family":"Baggen","given":"Hunter"},{"family":"Berman","given":"Yuval"},{"family":"Hafsia","given":"Sarah"},{"family":"Jayaseelen","given":"Rubi"},{"family":"Amratia","given":"Punam"},{"family":"Browne","given":"Annie"},{"family":"Cameron","given":"Ewan"},{"family":"Vargas","given":"Camilo"},{"family":"Rumisha","given":"Susan F."},{"family":"Golding","given":"Nick"},{"family":"Weiss","given":"Daniel J."},{"family":"Gething","given":"Peter W."}],"accessed":{"date-parts":[["2025",6,7]]},"issued":{"date-parts":[["2025",3,4]]}}}],"schema":"https://github.com/citation-style-language/schema/raw/master/csl-citation.json"} </w:instrText>
      </w:r>
      <w:r w:rsidR="00585215">
        <w:rPr>
          <w:bCs/>
        </w:rPr>
        <w:fldChar w:fldCharType="separate"/>
      </w:r>
      <w:r w:rsidR="00585215" w:rsidRPr="00585215">
        <w:t>[4]</w:t>
      </w:r>
      <w:r w:rsidR="00585215">
        <w:rPr>
          <w:bCs/>
        </w:rPr>
        <w:fldChar w:fldCharType="end"/>
      </w:r>
      <w:r w:rsidR="0098071A" w:rsidRPr="007D0172">
        <w:rPr>
          <w:bCs/>
        </w:rPr>
        <w:t>.</w:t>
      </w:r>
      <w:r w:rsidR="00330E61" w:rsidRPr="007D0172">
        <w:rPr>
          <w:bCs/>
        </w:rPr>
        <w:t xml:space="preserve"> [NMESP] </w:t>
      </w:r>
    </w:p>
    <w:p w14:paraId="4B88A1DF" w14:textId="53B6B39D" w:rsidR="00993CF1" w:rsidRPr="007D0172" w:rsidRDefault="00993CF1" w:rsidP="00993CF1">
      <w:pPr>
        <w:pStyle w:val="NormalWeb"/>
        <w:spacing w:line="360" w:lineRule="auto"/>
        <w:rPr>
          <w:bCs/>
        </w:rPr>
      </w:pPr>
      <w:r w:rsidRPr="007D0172">
        <w:rPr>
          <w:bCs/>
        </w:rPr>
        <w:t xml:space="preserve">However, recent freeze in USAID funding has created an urgent need to re-evaluate malaria control strategies within the constraints of a reduced budget. With limited resources available, national programs are compelled to prioritize interventions, potentially scaling back or eliminating some activities altogether. This raises critical questions about which interventions </w:t>
      </w:r>
      <w:r w:rsidRPr="007D0172">
        <w:rPr>
          <w:bCs/>
        </w:rPr>
        <w:lastRenderedPageBreak/>
        <w:t>or coverage levels should be deprioritized in order to minimize the negative impact on malaria outcomes.</w:t>
      </w:r>
    </w:p>
    <w:p w14:paraId="10B0E94C" w14:textId="2AC2A95D" w:rsidR="001A2D6F" w:rsidRPr="001A2D6F" w:rsidRDefault="001A2D6F" w:rsidP="001A2D6F">
      <w:pPr>
        <w:pStyle w:val="NormalWeb"/>
        <w:spacing w:line="360" w:lineRule="auto"/>
        <w:rPr>
          <w:bCs/>
          <w:lang w:val="en-US"/>
        </w:rPr>
      </w:pPr>
      <w:r w:rsidRPr="001A2D6F">
        <w:rPr>
          <w:bCs/>
          <w:lang w:val="en-US"/>
        </w:rPr>
        <w:t>In this landscape of constrained resources, there is an urgent need for data-driven strategies to inform which interventions should be maintained, reduced, or removed entirely. The challenge lies in balancing limited budgets with the imperative to minimize increases in malaria morbidity and mortality. Traditional planning methods, which often rely on static assumptions or past performance, are insufficient for this task, especially given the heterogeneous transmission dynamics across regions and populations.</w:t>
      </w:r>
      <w:r w:rsidRPr="001A2D6F">
        <w:rPr>
          <w:bCs/>
          <w:lang w:val="en-US"/>
        </w:rPr>
        <w:br/>
      </w:r>
      <w:r w:rsidRPr="001A2D6F">
        <w:rPr>
          <w:bCs/>
          <w:lang w:val="en-US"/>
        </w:rPr>
        <w:br/>
        <w:t>Mathematical modeling offers a valuable tool for addressing this complexity. It enables the simulation of intervention scenarios over time and space, capturing the dynamic interplay between interventions, transmission, and population factors (Smith et al., 2012; Winskill et al., 2017). By modeling the impact of removing or scaling back specific interventions one at a time, programs can anticipate the epidemiological consequences of various prioritization decisions.</w:t>
      </w:r>
      <w:r w:rsidRPr="001A2D6F">
        <w:rPr>
          <w:bCs/>
          <w:lang w:val="en-US"/>
        </w:rPr>
        <w:br/>
      </w:r>
      <w:r w:rsidRPr="001A2D6F">
        <w:rPr>
          <w:bCs/>
          <w:lang w:val="en-US"/>
        </w:rPr>
        <w:br/>
        <w:t>However, model outputs are inherently dependent on a range of assumptions—such as intervention coverage, efficacy, and baseline transmission intensity—many of which carry uncertainty. To account for this, our study incorporates global sensitivity analysis (SA) using Sobol indices. Sensitivity analysis helps quantify how variation in model inputs influences outputs, allowing us to identify which interventions are both impactful and influential in driving model predictions. As emphasized in recent literature (Razavi et al., 2021), SA is increasingly recognized as a critical component of model-based policy support, enabling more transparent, robust, and defensible decision-making.</w:t>
      </w:r>
      <w:r w:rsidRPr="001A2D6F">
        <w:rPr>
          <w:bCs/>
          <w:lang w:val="en-US"/>
        </w:rPr>
        <w:br/>
      </w:r>
      <w:r w:rsidRPr="001A2D6F">
        <w:rPr>
          <w:bCs/>
          <w:lang w:val="en-US"/>
        </w:rPr>
        <w:br/>
        <w:t>This study combines impact analysis and global sensitivity analysis to support NMCPs in Ghana and similar settings in making evidence-based decisions on intervention deprioritization. We focus on quantifying the contribution of each intervention to malaria case reduction under a fixed set of assumptions, while also assessing the robustness of these outcomes across plausible ranges of uncertainty in key inputs.</w:t>
      </w:r>
    </w:p>
    <w:p w14:paraId="5FDE2EC4" w14:textId="77777777" w:rsidR="001A2D6F" w:rsidRPr="001A2D6F" w:rsidRDefault="001A2D6F" w:rsidP="007D0172">
      <w:pPr>
        <w:pStyle w:val="NormalWeb"/>
        <w:spacing w:line="360" w:lineRule="auto"/>
        <w:rPr>
          <w:bCs/>
          <w:lang w:val="en-US"/>
        </w:rPr>
      </w:pPr>
    </w:p>
    <w:p w14:paraId="613CDCE3" w14:textId="77777777" w:rsidR="001A2D6F" w:rsidRDefault="001A2D6F" w:rsidP="007D0172">
      <w:pPr>
        <w:pStyle w:val="NormalWeb"/>
        <w:spacing w:line="360" w:lineRule="auto"/>
        <w:rPr>
          <w:bCs/>
        </w:rPr>
      </w:pPr>
    </w:p>
    <w:p w14:paraId="66B48FDC" w14:textId="5845FF1B" w:rsidR="0044396D" w:rsidRPr="007D0172" w:rsidRDefault="0044396D" w:rsidP="007D0172">
      <w:pPr>
        <w:autoSpaceDE w:val="0"/>
        <w:autoSpaceDN w:val="0"/>
        <w:adjustRightInd w:val="0"/>
        <w:spacing w:after="0" w:line="360" w:lineRule="auto"/>
        <w:rPr>
          <w:rFonts w:ascii="Times New Roman" w:hAnsi="Times New Roman" w:cs="Times New Roman"/>
          <w:bCs/>
          <w:sz w:val="24"/>
          <w:szCs w:val="24"/>
          <w:lang w:val="en-US"/>
        </w:rPr>
      </w:pPr>
      <w:r w:rsidRPr="007D0172">
        <w:rPr>
          <w:rFonts w:ascii="Times New Roman" w:hAnsi="Times New Roman" w:cs="Times New Roman"/>
          <w:bCs/>
          <w:sz w:val="24"/>
          <w:szCs w:val="24"/>
          <w:lang w:val="en-US"/>
        </w:rPr>
        <w:lastRenderedPageBreak/>
        <w:t xml:space="preserve">Mathematical models of malaria transmission have been used extensively to simulate malaria transmission as well as select appropriate intervention packages for specific risk areas at the subnational level </w:t>
      </w:r>
      <w:r w:rsidRPr="007D0172">
        <w:rPr>
          <w:rFonts w:ascii="Times New Roman" w:hAnsi="Times New Roman" w:cs="Times New Roman"/>
          <w:bCs/>
          <w:sz w:val="24"/>
          <w:szCs w:val="24"/>
          <w:lang w:val="en-US"/>
        </w:rPr>
        <w:fldChar w:fldCharType="begin"/>
      </w:r>
      <w:r w:rsidR="00585215">
        <w:rPr>
          <w:rFonts w:ascii="Times New Roman" w:hAnsi="Times New Roman" w:cs="Times New Roman"/>
          <w:bCs/>
          <w:sz w:val="24"/>
          <w:szCs w:val="24"/>
          <w:lang w:val="en-US"/>
        </w:rPr>
        <w:instrText xml:space="preserve"> ADDIN ZOTERO_ITEM CSL_CITATION {"citationID":"6dNvfMji","properties":{"formattedCitation":"[5,6]","plainCitation":"[5,6]","noteIndex":0},"citationItems":[{"id":30,"uris":["http://zotero.org/users/13629295/items/K9AGAU6Z"],"itemData":{"id":30,"type":"article-journal","abstract":"BACKGROUND: To accelerate progress against malaria in high burden countries, a strategic reorientation of resources at the sub-national level is needed. This paper describes how mathematical modelling was used in mainland Tanzania to support the strategic revision that followed the mid-term review of the 2015-2020 national malaria strategic plan (NMSP) and the epidemiological risk stratification at the council level in 2018.\nMETHODS: Intervention mixes, selected by the National Malaria Control Programme, were simulated for each malaria risk strata per council. Intervention mixes included combinations of insecticide-treated bed nets (ITN), indoor residual spraying, larval source management, and intermittent preventive therapies for school children (IPTsc). Effective case management was either based on estimates from the malaria indicator survey in 2016 or set to a hypothetical target of 85%. A previously calibrated mathematical model in OpenMalaria was used to compare intervention impact predictions for prevalence and incidence between 2016 and 2020, or 2022.\nRESULTS: For each malaria risk stratum four to ten intervention mixes were explored. In the low-risk and urban strata, the scenario without a ITN mass campaign in 2019, predicted high increase in prevalence by 2020 and 2022, while in the very-low strata the target prevalence of less than 1% was maintained at low pre-intervention transmission intensity and high case management. In the moderate and high strata, IPTsc in addition to existing vector control was predicted to reduce the incidence by an additional 15% and prevalence by 22%. In the high-risk strata, all interventions together reached a maximum reduction of 76%, with around 70% of that reduction attributable to high case management and ITNs. Overall, the simulated revised NMSP was predicted to achieve a slightly lower prevalence in 2020 compared to the 2015-2020 NMSP (5.3% vs 6.3%).\nCONCLUSION: Modelling supported the choice of intervention per malaria risk strata by providing impact comparisons of various alternative intervention mixes to address specific questions relevant to the country. The use of a council-calibrated model, that reproduces local malaria trends, represents a useful tool for compiling available evidence into a single analytical platform, that complement other evidence, to aid national programmes with decision-making processes.","container-title":"Malaria Journal","DOI":"10.1186/s12936-022-04099-5","ISSN":"1475-2875","issue":"1","journalAbbreviation":"Malar J","language":"eng","note":"PMID: 35300707\nPMCID: PMC8929286","page":"92","source":"PubMed","title":"Sub-national tailoring of malaria interventions in Mainland Tanzania: simulation of the impact of strata-specific intervention combinations using modelling","title-short":"Sub-national tailoring of malaria interventions in Mainland Tanzania","volume":"21","author":[{"family":"Runge","given":"Manuela"},{"family":"Thawer","given":"Sumaiyya G."},{"family":"Molteni","given":"Fabrizio"},{"family":"Chacky","given":"Frank"},{"family":"Mkude","given":"Sigsbert"},{"family":"Mandike","given":"Renata"},{"family":"Snow","given":"Robert W."},{"family":"Lengeler","given":"Christian"},{"family":"Mohamed","given":"Ally"},{"family":"Pothin","given":"Emilie"}],"issued":{"date-parts":[["2022",3,17]]}},"label":"page"},{"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P."}],"editor":[{"family":"Nacher","given":"Mathieu"}],"issued":{"date-parts":[["2022",12,21]]}},"label":"page"}],"schema":"https://github.com/citation-style-language/schema/raw/master/csl-citation.json"} </w:instrText>
      </w:r>
      <w:r w:rsidRPr="007D0172">
        <w:rPr>
          <w:rFonts w:ascii="Times New Roman" w:hAnsi="Times New Roman" w:cs="Times New Roman"/>
          <w:bCs/>
          <w:sz w:val="24"/>
          <w:szCs w:val="24"/>
          <w:lang w:val="en-US"/>
        </w:rPr>
        <w:fldChar w:fldCharType="separate"/>
      </w:r>
      <w:r w:rsidR="00585215" w:rsidRPr="00585215">
        <w:rPr>
          <w:rFonts w:ascii="Times New Roman" w:hAnsi="Times New Roman" w:cs="Times New Roman"/>
          <w:sz w:val="24"/>
          <w:lang w:val="en-US"/>
        </w:rPr>
        <w:t>[5,6]</w:t>
      </w:r>
      <w:r w:rsidRPr="007D0172">
        <w:rPr>
          <w:rFonts w:ascii="Times New Roman" w:hAnsi="Times New Roman" w:cs="Times New Roman"/>
          <w:bCs/>
          <w:sz w:val="24"/>
          <w:szCs w:val="24"/>
          <w:lang w:val="en-US"/>
        </w:rPr>
        <w:fldChar w:fldCharType="end"/>
      </w:r>
      <w:r w:rsidRPr="007D0172">
        <w:rPr>
          <w:rFonts w:ascii="Times New Roman" w:hAnsi="Times New Roman" w:cs="Times New Roman"/>
          <w:bCs/>
          <w:sz w:val="24"/>
          <w:szCs w:val="24"/>
          <w:lang w:val="en-US"/>
        </w:rPr>
        <w:t>. These models have been used over the years to understand malaria transmission and the impact of interventions</w:t>
      </w:r>
      <w:r w:rsidR="00566FAA" w:rsidRPr="007D0172">
        <w:rPr>
          <w:rFonts w:ascii="Times New Roman" w:hAnsi="Times New Roman" w:cs="Times New Roman"/>
          <w:bCs/>
          <w:sz w:val="24"/>
          <w:szCs w:val="24"/>
          <w:lang w:val="en-US"/>
        </w:rPr>
        <w:t>, individually or in a package</w:t>
      </w:r>
      <w:r w:rsidR="008D05DD" w:rsidRPr="007D0172">
        <w:rPr>
          <w:rFonts w:ascii="Times New Roman" w:hAnsi="Times New Roman" w:cs="Times New Roman"/>
          <w:bCs/>
          <w:sz w:val="24"/>
          <w:szCs w:val="24"/>
          <w:lang w:val="en-US"/>
        </w:rPr>
        <w:t>,</w:t>
      </w:r>
      <w:r w:rsidRPr="007D0172">
        <w:rPr>
          <w:rFonts w:ascii="Times New Roman" w:hAnsi="Times New Roman" w:cs="Times New Roman"/>
          <w:bCs/>
          <w:sz w:val="24"/>
          <w:szCs w:val="24"/>
          <w:lang w:val="en-US"/>
        </w:rPr>
        <w:t xml:space="preserve"> at the global and country levels</w:t>
      </w:r>
      <w:r w:rsidR="00566FAA" w:rsidRPr="007D0172">
        <w:rPr>
          <w:rFonts w:ascii="Times New Roman" w:hAnsi="Times New Roman" w:cs="Times New Roman"/>
          <w:bCs/>
          <w:sz w:val="24"/>
          <w:szCs w:val="24"/>
          <w:lang w:val="en-US"/>
        </w:rPr>
        <w:t xml:space="preserve"> </w:t>
      </w:r>
      <w:r w:rsidRPr="007D0172">
        <w:rPr>
          <w:rFonts w:ascii="Times New Roman" w:hAnsi="Times New Roman" w:cs="Times New Roman"/>
          <w:bCs/>
          <w:sz w:val="24"/>
          <w:szCs w:val="24"/>
          <w:lang w:val="en-US"/>
        </w:rPr>
        <w:fldChar w:fldCharType="begin"/>
      </w:r>
      <w:r w:rsidR="00585215">
        <w:rPr>
          <w:rFonts w:ascii="Times New Roman" w:hAnsi="Times New Roman" w:cs="Times New Roman"/>
          <w:bCs/>
          <w:sz w:val="24"/>
          <w:szCs w:val="24"/>
          <w:lang w:val="en-US"/>
        </w:rPr>
        <w:instrText xml:space="preserve"> ADDIN ZOTERO_ITEM CSL_CITATION {"citationID":"u5GcLUKm","properties":{"formattedCitation":"[6\\uc0\\u8211{}8]","plainCitation":"[6–8]","noteIndex":0},"citationItems":[{"id":6290,"uris":["http://zotero.org/users/13629295/items/99244C8A"],"itemData":{"id":6290,"type":"article-journal","abstract":"Supporting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P."}],"editor":[{"family":"Nacher","given":"Mathieu"}],"issued":{"date-parts":[["2022",12,21]]}},"label":"page"},{"id":61,"uris":["http://zotero.org/users/13629295/items/4P79DEWR"],"itemData":{"id":61,"type":"article-journal","abstract":"The scale up of indoor residual spraying (IRS) and insecticide treated nets have contributed significantly to global reductions in malaria prevalence over the last two decades. However, widespread pyrethroid resistance has necessitated the use of new and more expensive insecticides for IRS. Partial IRS with pirimiphos-methyl in experimental huts and houses in a village-wide trial was evaluated against Anopheles gambiae s.l. in northern Ghana. Four different scenarios in which either only the top or bottom half of the walls of experimental huts were sprayed, with or without also spraying the ceiling were compared. Mortality of An. gambiae s.l. on partially sprayed walls was compared with the standard procedures in which all walls and ceiling surfaces are sprayed. A small-scale trial was then conducted to assess the effectiveness, feasibility, and cost of spraying only the upper walls and ceiling as compared to full IRS and no spraying in northern Ghana. Human landing catches were conducted to estimate entomological indices and determine the effectiveness of partial IRS. An established transmission dynamics model was parameterized by an analysis of the experimental hut data and used to predict the epidemiological impact and cost effectiveness of partial IRS for malaria control in northern Ghana. In the experimental huts, partial IRS of the top (IRR 0.89, p = 0.13) or bottom (IRR 0.90, p = 0.15) half of walls and the ceiling was not significantly less effective than full IRS in terms of mosquito mortality. In the village trial, the annual entomological inoculation rate was higher for the unsprayed control (217 infective bites/person/year (ib/p/yr)) compared with the fully and partially sprayed sites, with 28 and 38 ib/p/yr, respectively. The transmission model predicts that the efficacy of partial IRS against all-age prevalence of malaria after six months would be broadly equivalent to a full IRS campaign in which 40% reduction is expected relative to no spray campaign. At scale, partial IRS in northern Ghana would have resulted in a 33% cost savings ($496,426) that would enable spraying of 36,000 additional rooms. These findings suggest that partial IRS is an effective, feasible, and cost saving approach to IRS that could be adopted to sustain and expand implementation of this key malaria control intervention.","container-title":"Scientific Reports","DOI":"10.1038/s41598-021-97138-1","ISSN":"2045-2322","issue":"1","journalAbbreviation":"Sci Rep","language":"eng","note":"PMID: 34508114\nPMCID: PMC8433436","page":"18055","source":"PubMed","title":"Partial indoor residual spraying with pirimiphos-methyl as an effective and cost-saving measure for the control of Anopheles gambiae s.l. in northern Ghana","volume":"11","author":[{"family":"Coleman","given":"Sylvester"},{"family":"Yihdego","given":"Yemane"},{"family":"Sherrard-Smith","given":"Ellie"},{"family":"Thomas","given":"Churcher S."},{"family":"Dengela","given":"Dereje"},{"family":"Oxborough","given":"Richard M."},{"family":"Dadzie","given":"Samuel K."},{"family":"Boakye","given":"Daniel"},{"family":"Gyamfi","given":"Frank"},{"family":"Obiri-Danso","given":"Kwasi"},{"family":"Johns","given":"Ben"},{"family":"Siems","given":"Lilly V."},{"family":"Lucas","given":"Bradford"},{"family":"Tongren","given":"Jon Eric"},{"family":"Zigirumugabe","given":"Sixte"},{"family":"Dery","given":"Dominic"},{"family":"Fornadel","given":"Christen"},{"family":"George","given":"Kristen"},{"family":"Belemvire","given":"Allison"},{"family":"Carlson","given":"Jenny"},{"family":"Irish","given":"Seth R."},{"family":"Armistead","given":"Jennifer S."},{"family":"Seyoum","given":"Aklilu"}],"issued":{"date-parts":[["2021",9,10]]}}},{"id":62,"uris":["http://zotero.org/users/13629295/items/3ZDIV3PQ"],"itemData":{"id":62,"type":"article-journal","abstract":"BACKGROUND: Ghana has made impressive progress against malaria, decreasing mortality and morbidity by over 50% between 2005 and 2015. These gains have been facilitated in part, due to increased financial commitment from government and donors. Total resources for malaria increased from less than USD 25 million in 2006 to over USD 100 million in 2011. However, the country still faces a high burden of disease and is at risk of declining external financing due to its strong economic growth and the consequential donor requirements for increased government contributions. The resulting financial gap will need to be met domestically. The purpose of this study was to provide economic evidence of the potential risks of withdrawing financing to shape an advocacy strategy for resource mobilization.\nMETHODS: A compartmental transmission model was developed to estimate the impact of a range of malaria interventions on the transmission of Plasmodium falciparum malaria between 2018 and 2030. The model projected scenarios of common interventions that allowed the attainment of elimination and those that predicted transmission if interventions were withheld. The outputs of this model were used to generate costs and economic benefits of each option.\nRESULTS: Elimination was predicted using the package of interventions outlined in the national strategy, particularly increased net usage and improved case management. Malaria elimination in Ghana is predicted to cost USD 961 million between 2020 and 2029. Compared to the baseline, elimination is estimated to prevent 85.5 million cases, save 4468 lives, and avert USD 2.2 billion in health system expenditures. The economic gain was estimated at USD 32 billion in reduced health system expenditure, increased household prosperity and productivity gains. Through malaria elimination, Ghana can expect to see a 32-fold return on their investment. Reducing interventions, predicted an additional 38.2 clinical cases, 2500 deaths and additional economic losses of USD 14.1 billion.\nCONCLUSIONS: Malaria elimination provides robust epidemiological and economic benefits, however, sustained financing is need to accelerate the gains in Ghana. Although government financing has increased in the past decade, the amount is less than 25% of the total malaria financing. The evidence generated by this study can be used to develop a robust domestic strategy to overcome the financial barriers to achieving malaria elimination in Ghana.","container-title":"Malaria Journal","DOI":"10.1186/s12936-020-03267-9","ISSN":"1475-2875","issue":"1","journalAbbreviation":"Malar J","language":"eng","note":"PMID: 32487148\nPMCID: PMC7268595","page":"196","source":"PubMed","title":"Estimating the risk of declining funding for malaria in Ghana: the case for continued investment in the malaria response","title-short":"Estimating the risk of declining funding for malaria in Ghana","volume":"19","author":[{"family":"Shretta","given":"Rima"},{"family":"Silal","given":"Sheetal P."},{"family":"Malm","given":"Keziah"},{"family":"Mohammed","given":"Wahjib"},{"family":"Narh","given":"Joel"},{"family":"Piccinini","given":"Danielle"},{"family":"Bertram","given":"Kathryn"},{"family":"Rockwood","given":"Jessica"},{"family":"Lynch","given":"Matt"}],"issued":{"date-parts":[["2020",6,1]]}},"label":"page"}],"schema":"https://github.com/citation-style-language/schema/raw/master/csl-citation.json"} </w:instrText>
      </w:r>
      <w:r w:rsidRPr="007D0172">
        <w:rPr>
          <w:rFonts w:ascii="Times New Roman" w:hAnsi="Times New Roman" w:cs="Times New Roman"/>
          <w:bCs/>
          <w:sz w:val="24"/>
          <w:szCs w:val="24"/>
          <w:lang w:val="en-US"/>
        </w:rPr>
        <w:fldChar w:fldCharType="separate"/>
      </w:r>
      <w:r w:rsidR="00585215" w:rsidRPr="00585215">
        <w:rPr>
          <w:rFonts w:ascii="Times New Roman" w:hAnsi="Times New Roman" w:cs="Times New Roman"/>
          <w:sz w:val="24"/>
          <w:lang w:val="en-US"/>
        </w:rPr>
        <w:t>[6–8]</w:t>
      </w:r>
      <w:r w:rsidRPr="007D0172">
        <w:rPr>
          <w:rFonts w:ascii="Times New Roman" w:hAnsi="Times New Roman" w:cs="Times New Roman"/>
          <w:bCs/>
          <w:sz w:val="24"/>
          <w:szCs w:val="24"/>
          <w:lang w:val="en-US"/>
        </w:rPr>
        <w:fldChar w:fldCharType="end"/>
      </w:r>
      <w:r w:rsidRPr="007D0172">
        <w:rPr>
          <w:rFonts w:ascii="Times New Roman" w:hAnsi="Times New Roman" w:cs="Times New Roman"/>
          <w:bCs/>
          <w:sz w:val="24"/>
          <w:szCs w:val="24"/>
          <w:lang w:val="en-US"/>
        </w:rPr>
        <w:t>. With the aim of developing the models to capture reality closely, they tend to be complex with many parameters</w:t>
      </w:r>
      <w:r w:rsidR="008D05DD" w:rsidRPr="007D0172">
        <w:rPr>
          <w:rFonts w:ascii="Times New Roman" w:hAnsi="Times New Roman" w:cs="Times New Roman"/>
          <w:bCs/>
          <w:sz w:val="24"/>
          <w:szCs w:val="24"/>
          <w:lang w:val="en-US"/>
        </w:rPr>
        <w:t xml:space="preserve"> [all malaria models]</w:t>
      </w:r>
      <w:r w:rsidRPr="007D0172">
        <w:rPr>
          <w:rFonts w:ascii="Times New Roman" w:hAnsi="Times New Roman" w:cs="Times New Roman"/>
          <w:bCs/>
          <w:sz w:val="24"/>
          <w:szCs w:val="24"/>
          <w:lang w:val="en-US"/>
        </w:rPr>
        <w:t xml:space="preserve">. Determining the relative contribution of each parameter of these models to the model outputs allows for the identification of the key drivers of disease dynamics </w:t>
      </w:r>
      <w:r w:rsidRPr="007D0172">
        <w:rPr>
          <w:rFonts w:ascii="Times New Roman" w:hAnsi="Times New Roman" w:cs="Times New Roman"/>
          <w:bCs/>
          <w:sz w:val="24"/>
          <w:szCs w:val="24"/>
          <w:lang w:val="en-US"/>
        </w:rPr>
        <w:fldChar w:fldCharType="begin"/>
      </w:r>
      <w:r w:rsidR="00585215">
        <w:rPr>
          <w:rFonts w:ascii="Times New Roman" w:hAnsi="Times New Roman" w:cs="Times New Roman"/>
          <w:bCs/>
          <w:sz w:val="24"/>
          <w:szCs w:val="24"/>
          <w:lang w:val="en-US"/>
        </w:rPr>
        <w:instrText xml:space="preserve"> ADDIN ZOTERO_ITEM CSL_CITATION {"citationID":"tEfY4Ihh","properties":{"formattedCitation":"[9]","plainCitation":"[9]","noteIndex":0},"citationItems":[{"id":23,"uris":["http://zotero.org/users/13629295/items/URHW5Q32"],"itemData":{"id":23,"type":"article-journal","abstract":"We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Pr="007D0172">
        <w:rPr>
          <w:rFonts w:ascii="Times New Roman" w:hAnsi="Times New Roman" w:cs="Times New Roman"/>
          <w:bCs/>
          <w:sz w:val="24"/>
          <w:szCs w:val="24"/>
          <w:lang w:val="en-US"/>
        </w:rPr>
        <w:fldChar w:fldCharType="separate"/>
      </w:r>
      <w:r w:rsidR="00585215" w:rsidRPr="00585215">
        <w:rPr>
          <w:rFonts w:ascii="Times New Roman" w:hAnsi="Times New Roman" w:cs="Times New Roman"/>
          <w:sz w:val="24"/>
          <w:lang w:val="en-US"/>
        </w:rPr>
        <w:t>[9]</w:t>
      </w:r>
      <w:r w:rsidRPr="007D0172">
        <w:rPr>
          <w:rFonts w:ascii="Times New Roman" w:hAnsi="Times New Roman" w:cs="Times New Roman"/>
          <w:bCs/>
          <w:sz w:val="24"/>
          <w:szCs w:val="24"/>
          <w:lang w:val="en-US"/>
        </w:rPr>
        <w:fldChar w:fldCharType="end"/>
      </w:r>
      <w:r w:rsidRPr="007D0172">
        <w:rPr>
          <w:rFonts w:ascii="Times New Roman" w:hAnsi="Times New Roman" w:cs="Times New Roman"/>
          <w:bCs/>
          <w:sz w:val="24"/>
          <w:szCs w:val="24"/>
          <w:lang w:val="en-US"/>
        </w:rPr>
        <w:t xml:space="preserve">. Geographic-specific knowledge of the impact of interventions on local malaria transmission and burden as well as the key drivers of disease dynamics is crucial in guiding the decisions of malaria control programs. Such knowledge will enable the optimal allocation of limited resources, particularly in this era where the future of </w:t>
      </w:r>
      <w:r w:rsidR="008D05DD" w:rsidRPr="007D0172">
        <w:rPr>
          <w:rFonts w:ascii="Times New Roman" w:hAnsi="Times New Roman" w:cs="Times New Roman"/>
          <w:bCs/>
          <w:sz w:val="24"/>
          <w:szCs w:val="24"/>
          <w:lang w:val="en-US"/>
        </w:rPr>
        <w:t xml:space="preserve">the </w:t>
      </w:r>
      <w:r w:rsidRPr="007D0172">
        <w:rPr>
          <w:rFonts w:ascii="Times New Roman" w:hAnsi="Times New Roman" w:cs="Times New Roman"/>
          <w:bCs/>
          <w:sz w:val="24"/>
          <w:szCs w:val="24"/>
          <w:lang w:val="en-US"/>
        </w:rPr>
        <w:t xml:space="preserve">PMI funding is uncertain </w:t>
      </w:r>
      <w:r w:rsidRPr="007D0172">
        <w:rPr>
          <w:rFonts w:ascii="Times New Roman" w:hAnsi="Times New Roman" w:cs="Times New Roman"/>
          <w:bCs/>
          <w:sz w:val="24"/>
          <w:szCs w:val="24"/>
          <w:lang w:val="en-US"/>
        </w:rPr>
        <w:fldChar w:fldCharType="begin"/>
      </w:r>
      <w:r w:rsidR="00585215">
        <w:rPr>
          <w:rFonts w:ascii="Times New Roman" w:hAnsi="Times New Roman" w:cs="Times New Roman"/>
          <w:bCs/>
          <w:sz w:val="24"/>
          <w:szCs w:val="24"/>
          <w:lang w:val="en-US"/>
        </w:rPr>
        <w:instrText xml:space="preserve"> ADDIN ZOTERO_ITEM CSL_CITATION {"citationID":"Iks09tRi","properties":{"formattedCitation":"[9]","plainCitation":"[9]","noteIndex":0},"citationItems":[{"id":23,"uris":["http://zotero.org/users/13629295/items/URHW5Q32"],"itemData":{"id":23,"type":"article-journal","abstract":"We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Pr="007D0172">
        <w:rPr>
          <w:rFonts w:ascii="Times New Roman" w:hAnsi="Times New Roman" w:cs="Times New Roman"/>
          <w:bCs/>
          <w:sz w:val="24"/>
          <w:szCs w:val="24"/>
          <w:lang w:val="en-US"/>
        </w:rPr>
        <w:fldChar w:fldCharType="separate"/>
      </w:r>
      <w:r w:rsidR="00585215" w:rsidRPr="00585215">
        <w:rPr>
          <w:rFonts w:ascii="Times New Roman" w:hAnsi="Times New Roman" w:cs="Times New Roman"/>
          <w:sz w:val="24"/>
          <w:lang w:val="en-US"/>
        </w:rPr>
        <w:t>[9]</w:t>
      </w:r>
      <w:r w:rsidRPr="007D0172">
        <w:rPr>
          <w:rFonts w:ascii="Times New Roman" w:hAnsi="Times New Roman" w:cs="Times New Roman"/>
          <w:bCs/>
          <w:sz w:val="24"/>
          <w:szCs w:val="24"/>
          <w:lang w:val="en-US"/>
        </w:rPr>
        <w:fldChar w:fldCharType="end"/>
      </w:r>
      <w:r w:rsidRPr="007D0172">
        <w:rPr>
          <w:rFonts w:ascii="Times New Roman" w:hAnsi="Times New Roman" w:cs="Times New Roman"/>
          <w:bCs/>
          <w:sz w:val="24"/>
          <w:szCs w:val="24"/>
          <w:lang w:val="en-US"/>
        </w:rPr>
        <w:t xml:space="preserve">. </w:t>
      </w:r>
    </w:p>
    <w:p w14:paraId="66D63A41" w14:textId="77777777" w:rsidR="0044396D" w:rsidRPr="007D0172" w:rsidRDefault="0044396D" w:rsidP="007D0172">
      <w:pPr>
        <w:autoSpaceDE w:val="0"/>
        <w:autoSpaceDN w:val="0"/>
        <w:adjustRightInd w:val="0"/>
        <w:spacing w:after="0" w:line="360" w:lineRule="auto"/>
        <w:rPr>
          <w:rFonts w:ascii="Times New Roman" w:hAnsi="Times New Roman" w:cs="Times New Roman"/>
          <w:bCs/>
          <w:sz w:val="24"/>
          <w:szCs w:val="24"/>
          <w:lang w:val="en-US"/>
        </w:rPr>
      </w:pPr>
    </w:p>
    <w:p w14:paraId="54B505A7" w14:textId="3152C9A4" w:rsidR="0044396D" w:rsidRPr="007D0172" w:rsidRDefault="0044396D" w:rsidP="007D0172">
      <w:pPr>
        <w:autoSpaceDE w:val="0"/>
        <w:autoSpaceDN w:val="0"/>
        <w:adjustRightInd w:val="0"/>
        <w:spacing w:after="0" w:line="360" w:lineRule="auto"/>
        <w:rPr>
          <w:rFonts w:ascii="Times New Roman" w:hAnsi="Times New Roman" w:cs="Times New Roman"/>
          <w:bCs/>
          <w:sz w:val="24"/>
          <w:szCs w:val="24"/>
          <w:lang w:val="en-US"/>
        </w:rPr>
      </w:pPr>
      <w:r w:rsidRPr="007D0172">
        <w:rPr>
          <w:rFonts w:ascii="Times New Roman" w:hAnsi="Times New Roman" w:cs="Times New Roman"/>
          <w:bCs/>
          <w:sz w:val="24"/>
          <w:szCs w:val="24"/>
          <w:lang w:val="en-US"/>
        </w:rPr>
        <w:t xml:space="preserve">Global sensitivity analysis of malaria transmission models can help determine the relative importance of individual </w:t>
      </w:r>
      <w:r w:rsidR="008D05DD" w:rsidRPr="007D0172">
        <w:rPr>
          <w:rFonts w:ascii="Times New Roman" w:hAnsi="Times New Roman" w:cs="Times New Roman"/>
          <w:bCs/>
          <w:sz w:val="24"/>
          <w:szCs w:val="24"/>
          <w:lang w:val="en-US"/>
        </w:rPr>
        <w:t>parameters</w:t>
      </w:r>
      <w:r w:rsidRPr="007D0172">
        <w:rPr>
          <w:rFonts w:ascii="Times New Roman" w:hAnsi="Times New Roman" w:cs="Times New Roman"/>
          <w:bCs/>
          <w:sz w:val="24"/>
          <w:szCs w:val="24"/>
          <w:lang w:val="en-US"/>
        </w:rPr>
        <w:t xml:space="preserve"> to malaria incidence</w:t>
      </w:r>
      <w:r w:rsidR="008D05DD" w:rsidRPr="007D0172">
        <w:rPr>
          <w:rFonts w:ascii="Times New Roman" w:hAnsi="Times New Roman" w:cs="Times New Roman"/>
          <w:bCs/>
          <w:sz w:val="24"/>
          <w:szCs w:val="24"/>
          <w:lang w:val="en-US"/>
        </w:rPr>
        <w:t xml:space="preserve"> reduction</w:t>
      </w:r>
      <w:r w:rsidRPr="007D0172">
        <w:rPr>
          <w:rFonts w:ascii="Times New Roman" w:hAnsi="Times New Roman" w:cs="Times New Roman"/>
          <w:bCs/>
          <w:sz w:val="24"/>
          <w:szCs w:val="24"/>
          <w:lang w:val="en-US"/>
        </w:rPr>
        <w:t xml:space="preserve"> within a specific geographical area</w:t>
      </w:r>
      <w:r w:rsidR="008D05DD" w:rsidRPr="007D0172">
        <w:rPr>
          <w:rFonts w:ascii="Times New Roman" w:hAnsi="Times New Roman" w:cs="Times New Roman"/>
          <w:bCs/>
          <w:sz w:val="24"/>
          <w:szCs w:val="24"/>
          <w:lang w:val="en-US"/>
        </w:rPr>
        <w:t xml:space="preserve"> [monica]</w:t>
      </w:r>
      <w:r w:rsidRPr="007D0172">
        <w:rPr>
          <w:rFonts w:ascii="Times New Roman" w:hAnsi="Times New Roman" w:cs="Times New Roman"/>
          <w:bCs/>
          <w:sz w:val="24"/>
          <w:szCs w:val="24"/>
          <w:lang w:val="en-US"/>
        </w:rPr>
        <w:t xml:space="preserve"> </w:t>
      </w:r>
      <w:r w:rsidRPr="007D0172">
        <w:rPr>
          <w:rFonts w:ascii="Times New Roman" w:hAnsi="Times New Roman" w:cs="Times New Roman"/>
          <w:bCs/>
          <w:sz w:val="24"/>
          <w:szCs w:val="24"/>
          <w:lang w:val="en-US"/>
        </w:rPr>
        <w:fldChar w:fldCharType="begin"/>
      </w:r>
      <w:r w:rsidR="00585215">
        <w:rPr>
          <w:rFonts w:ascii="Times New Roman" w:hAnsi="Times New Roman" w:cs="Times New Roman"/>
          <w:bCs/>
          <w:sz w:val="24"/>
          <w:szCs w:val="24"/>
          <w:lang w:val="en-US"/>
        </w:rPr>
        <w:instrText xml:space="preserve"> ADDIN ZOTERO_ITEM CSL_CITATION {"citationID":"kf2lePqa","properties":{"formattedCitation":"[10,11]","plainCitation":"[10,11]","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A."}],"issued":{"date-parts":[["2022",6,4]]}}}],"schema":"https://github.com/citation-style-language/schema/raw/master/csl-citation.json"} </w:instrText>
      </w:r>
      <w:r w:rsidRPr="007D0172">
        <w:rPr>
          <w:rFonts w:ascii="Times New Roman" w:hAnsi="Times New Roman" w:cs="Times New Roman"/>
          <w:bCs/>
          <w:sz w:val="24"/>
          <w:szCs w:val="24"/>
          <w:lang w:val="en-US"/>
        </w:rPr>
        <w:fldChar w:fldCharType="separate"/>
      </w:r>
      <w:r w:rsidR="00585215" w:rsidRPr="00585215">
        <w:rPr>
          <w:rFonts w:ascii="Times New Roman" w:hAnsi="Times New Roman" w:cs="Times New Roman"/>
          <w:sz w:val="24"/>
          <w:lang w:val="en-US"/>
        </w:rPr>
        <w:t>[10,11]</w:t>
      </w:r>
      <w:r w:rsidRPr="007D0172">
        <w:rPr>
          <w:rFonts w:ascii="Times New Roman" w:hAnsi="Times New Roman" w:cs="Times New Roman"/>
          <w:bCs/>
          <w:sz w:val="24"/>
          <w:szCs w:val="24"/>
          <w:lang w:val="en-US"/>
        </w:rPr>
        <w:fldChar w:fldCharType="end"/>
      </w:r>
      <w:r w:rsidRPr="007D0172">
        <w:rPr>
          <w:rFonts w:ascii="Times New Roman" w:hAnsi="Times New Roman" w:cs="Times New Roman"/>
          <w:bCs/>
          <w:sz w:val="24"/>
          <w:szCs w:val="24"/>
          <w:lang w:val="en-US"/>
        </w:rPr>
        <w:t>. Several methods exist for performing global sensitivity analysis as summarized by …[]</w:t>
      </w:r>
    </w:p>
    <w:p w14:paraId="1BA6BD30" w14:textId="0D0C993F" w:rsidR="0044396D" w:rsidRPr="007D0172" w:rsidRDefault="0044396D" w:rsidP="007D0172">
      <w:pPr>
        <w:autoSpaceDE w:val="0"/>
        <w:autoSpaceDN w:val="0"/>
        <w:adjustRightInd w:val="0"/>
        <w:spacing w:after="0" w:line="360" w:lineRule="auto"/>
        <w:rPr>
          <w:rFonts w:ascii="Times New Roman" w:hAnsi="Times New Roman" w:cs="Times New Roman"/>
          <w:bCs/>
          <w:sz w:val="24"/>
          <w:szCs w:val="24"/>
          <w:lang w:val="en-US"/>
        </w:rPr>
      </w:pPr>
      <w:r w:rsidRPr="007D0172">
        <w:rPr>
          <w:rFonts w:ascii="Times New Roman" w:hAnsi="Times New Roman" w:cs="Times New Roman"/>
          <w:bCs/>
          <w:sz w:val="24"/>
          <w:szCs w:val="24"/>
          <w:lang w:val="en-US"/>
        </w:rPr>
        <w:t xml:space="preserve">While a comparison of GSA methods by Wu </w:t>
      </w:r>
      <w:r w:rsidRPr="007D0172">
        <w:rPr>
          <w:rFonts w:ascii="Times New Roman" w:hAnsi="Times New Roman" w:cs="Times New Roman"/>
          <w:bCs/>
          <w:i/>
          <w:iCs/>
          <w:sz w:val="24"/>
          <w:szCs w:val="24"/>
          <w:lang w:val="en-US"/>
        </w:rPr>
        <w:t>et al.</w:t>
      </w:r>
      <w:r w:rsidRPr="007D0172">
        <w:rPr>
          <w:rFonts w:ascii="Times New Roman" w:hAnsi="Times New Roman" w:cs="Times New Roman"/>
          <w:bCs/>
          <w:sz w:val="24"/>
          <w:szCs w:val="24"/>
          <w:lang w:val="en-US"/>
        </w:rPr>
        <w:t xml:space="preserve"> revealed that the five methods compared yielded similar results in identifying important parameters, the Sobol’ method ha</w:t>
      </w:r>
      <w:r w:rsidR="00876791" w:rsidRPr="007D0172">
        <w:rPr>
          <w:rFonts w:ascii="Times New Roman" w:hAnsi="Times New Roman" w:cs="Times New Roman"/>
          <w:bCs/>
          <w:sz w:val="24"/>
          <w:szCs w:val="24"/>
          <w:lang w:val="en-US"/>
        </w:rPr>
        <w:t>s</w:t>
      </w:r>
      <w:r w:rsidRPr="007D0172">
        <w:rPr>
          <w:rFonts w:ascii="Times New Roman" w:hAnsi="Times New Roman" w:cs="Times New Roman"/>
          <w:bCs/>
          <w:sz w:val="24"/>
          <w:szCs w:val="24"/>
          <w:lang w:val="en-US"/>
        </w:rPr>
        <w:t xml:space="preserve"> the added benefit of calculating the interaction effect between parameters </w:t>
      </w:r>
      <w:r w:rsidRPr="007D0172">
        <w:rPr>
          <w:rFonts w:ascii="Times New Roman" w:hAnsi="Times New Roman" w:cs="Times New Roman"/>
          <w:bCs/>
          <w:sz w:val="24"/>
          <w:szCs w:val="24"/>
          <w:highlight w:val="yellow"/>
          <w:lang w:val="en-US"/>
        </w:rPr>
        <w:t>[Wu]</w:t>
      </w:r>
      <w:r w:rsidRPr="007D0172">
        <w:rPr>
          <w:rFonts w:ascii="Times New Roman" w:hAnsi="Times New Roman" w:cs="Times New Roman"/>
          <w:bCs/>
          <w:sz w:val="24"/>
          <w:szCs w:val="24"/>
          <w:lang w:val="en-US"/>
        </w:rPr>
        <w:t xml:space="preserve">. </w:t>
      </w:r>
      <w:r w:rsidRPr="007D0172">
        <w:rPr>
          <w:rFonts w:ascii="Times New Roman" w:hAnsi="Times New Roman" w:cs="Times New Roman"/>
          <w:bCs/>
          <w:sz w:val="24"/>
          <w:szCs w:val="24"/>
          <w:lang w:val="en-US"/>
        </w:rPr>
        <w:t>Sobol’ sensitivity method, a variance-based sensitivity analysis method, allow</w:t>
      </w:r>
      <w:r w:rsidR="00876791" w:rsidRPr="007D0172">
        <w:rPr>
          <w:rFonts w:ascii="Times New Roman" w:hAnsi="Times New Roman" w:cs="Times New Roman"/>
          <w:bCs/>
          <w:sz w:val="24"/>
          <w:szCs w:val="24"/>
          <w:lang w:val="en-US"/>
        </w:rPr>
        <w:t>s</w:t>
      </w:r>
      <w:r w:rsidRPr="007D0172">
        <w:rPr>
          <w:rFonts w:ascii="Times New Roman" w:hAnsi="Times New Roman" w:cs="Times New Roman"/>
          <w:bCs/>
          <w:sz w:val="24"/>
          <w:szCs w:val="24"/>
          <w:lang w:val="en-US"/>
        </w:rPr>
        <w:t xml:space="preserve"> for the quantification of individual contributions of parameters and their interactions with one or more parameters to outcomes of individual-based models</w:t>
      </w:r>
      <w:r w:rsidR="00876791" w:rsidRPr="007D0172">
        <w:rPr>
          <w:rFonts w:ascii="Times New Roman" w:hAnsi="Times New Roman" w:cs="Times New Roman"/>
          <w:bCs/>
          <w:sz w:val="24"/>
          <w:szCs w:val="24"/>
          <w:lang w:val="en-US"/>
        </w:rPr>
        <w:t xml:space="preserve"> [saltelli]</w:t>
      </w:r>
      <w:r w:rsidRPr="007D0172">
        <w:rPr>
          <w:rFonts w:ascii="Times New Roman" w:hAnsi="Times New Roman" w:cs="Times New Roman"/>
          <w:bCs/>
          <w:sz w:val="24"/>
          <w:szCs w:val="24"/>
          <w:lang w:val="en-US"/>
        </w:rPr>
        <w:t>.</w:t>
      </w:r>
    </w:p>
    <w:p w14:paraId="4F720814" w14:textId="03701DE6" w:rsidR="0098071A" w:rsidRPr="007D0172" w:rsidRDefault="0098071A" w:rsidP="007D0172">
      <w:pPr>
        <w:pStyle w:val="NormalWeb"/>
        <w:spacing w:line="360" w:lineRule="auto"/>
        <w:rPr>
          <w:bCs/>
        </w:rPr>
      </w:pPr>
      <w:r w:rsidRPr="007D0172">
        <w:rPr>
          <w:bCs/>
        </w:rPr>
        <w:t xml:space="preserve">To support evidence-based decision-making under </w:t>
      </w:r>
      <w:r w:rsidR="00876791" w:rsidRPr="007D0172">
        <w:rPr>
          <w:bCs/>
        </w:rPr>
        <w:t>limited funding</w:t>
      </w:r>
      <w:r w:rsidRPr="007D0172">
        <w:rPr>
          <w:bCs/>
        </w:rPr>
        <w:t xml:space="preserve"> constraints, we employ a mathematical modeling approach using OpenMalaria, a well-established individual-based</w:t>
      </w:r>
      <w:r w:rsidR="00876791" w:rsidRPr="007D0172">
        <w:rPr>
          <w:bCs/>
        </w:rPr>
        <w:t xml:space="preserve"> </w:t>
      </w:r>
      <w:r w:rsidRPr="007D0172">
        <w:rPr>
          <w:bCs/>
        </w:rPr>
        <w:t>simulation platform</w:t>
      </w:r>
      <w:r w:rsidR="00876791" w:rsidRPr="007D0172">
        <w:rPr>
          <w:bCs/>
        </w:rPr>
        <w:t xml:space="preserve"> for </w:t>
      </w:r>
      <w:r w:rsidR="00876791" w:rsidRPr="007D0172">
        <w:rPr>
          <w:bCs/>
        </w:rPr>
        <w:t>malaria transmission</w:t>
      </w:r>
      <w:r w:rsidRPr="007D0172">
        <w:rPr>
          <w:bCs/>
        </w:rPr>
        <w:t>. We simulate the current National Strategic Plan (NSP</w:t>
      </w:r>
      <w:r w:rsidR="00876791" w:rsidRPr="007D0172">
        <w:rPr>
          <w:bCs/>
        </w:rPr>
        <w:t xml:space="preserve"> 2021-2025</w:t>
      </w:r>
      <w:r w:rsidRPr="007D0172">
        <w:rPr>
          <w:bCs/>
        </w:rPr>
        <w:t>)</w:t>
      </w:r>
      <w:r w:rsidR="00876791" w:rsidRPr="007D0172">
        <w:rPr>
          <w:bCs/>
        </w:rPr>
        <w:t xml:space="preserve"> of Ghana</w:t>
      </w:r>
      <w:r w:rsidRPr="007D0172">
        <w:rPr>
          <w:bCs/>
        </w:rPr>
        <w:t xml:space="preserve"> for malaria control and explore the impact of </w:t>
      </w:r>
      <w:r w:rsidRPr="007D0172">
        <w:rPr>
          <w:bCs/>
        </w:rPr>
        <w:t>removing individua</w:t>
      </w:r>
      <w:r w:rsidR="00876791" w:rsidRPr="007D0172">
        <w:rPr>
          <w:bCs/>
        </w:rPr>
        <w:t>l</w:t>
      </w:r>
      <w:r w:rsidRPr="007D0172">
        <w:rPr>
          <w:bCs/>
        </w:rPr>
        <w:t xml:space="preserve"> interventions</w:t>
      </w:r>
      <w:r w:rsidR="00876791" w:rsidRPr="007D0172">
        <w:rPr>
          <w:bCs/>
        </w:rPr>
        <w:t xml:space="preserve"> at the regional level</w:t>
      </w:r>
      <w:r w:rsidRPr="007D0172">
        <w:rPr>
          <w:bCs/>
        </w:rPr>
        <w:t>. Furthermore, we conduct a global sensitivity analysis using</w:t>
      </w:r>
      <w:r w:rsidR="00876791" w:rsidRPr="007D0172">
        <w:rPr>
          <w:bCs/>
        </w:rPr>
        <w:t xml:space="preserve"> the</w:t>
      </w:r>
      <w:r w:rsidRPr="007D0172">
        <w:rPr>
          <w:bCs/>
        </w:rPr>
        <w:t xml:space="preserve"> Sobol</w:t>
      </w:r>
      <w:r w:rsidR="00876791" w:rsidRPr="007D0172">
        <w:rPr>
          <w:bCs/>
        </w:rPr>
        <w:t>’</w:t>
      </w:r>
      <w:r w:rsidRPr="007D0172">
        <w:rPr>
          <w:bCs/>
        </w:rPr>
        <w:t xml:space="preserve"> </w:t>
      </w:r>
      <w:r w:rsidR="00876791" w:rsidRPr="007D0172">
        <w:rPr>
          <w:bCs/>
        </w:rPr>
        <w:t>method</w:t>
      </w:r>
      <w:r w:rsidRPr="007D0172">
        <w:rPr>
          <w:bCs/>
        </w:rPr>
        <w:t xml:space="preserve"> to identify which intervention</w:t>
      </w:r>
      <w:r w:rsidR="001F0254" w:rsidRPr="007D0172">
        <w:rPr>
          <w:bCs/>
        </w:rPr>
        <w:t>’s</w:t>
      </w:r>
      <w:r w:rsidRPr="007D0172">
        <w:rPr>
          <w:bCs/>
        </w:rPr>
        <w:t xml:space="preserve"> coverage most strongly influence malaria </w:t>
      </w:r>
      <w:r w:rsidRPr="007D0172">
        <w:rPr>
          <w:bCs/>
        </w:rPr>
        <w:t>incidence</w:t>
      </w:r>
      <w:r w:rsidRPr="007D0172">
        <w:rPr>
          <w:bCs/>
        </w:rPr>
        <w:t xml:space="preserve"> </w:t>
      </w:r>
      <w:r w:rsidRPr="007D0172">
        <w:rPr>
          <w:bCs/>
        </w:rPr>
        <w:t>reduction</w:t>
      </w:r>
      <w:r w:rsidRPr="007D0172">
        <w:rPr>
          <w:bCs/>
        </w:rPr>
        <w:t xml:space="preserve">. By quantifying the relative </w:t>
      </w:r>
      <w:r w:rsidRPr="007D0172">
        <w:rPr>
          <w:bCs/>
        </w:rPr>
        <w:t>contribution</w:t>
      </w:r>
      <w:r w:rsidRPr="007D0172">
        <w:rPr>
          <w:bCs/>
        </w:rPr>
        <w:t xml:space="preserve"> of each intervention, this analysis provides a data-driven basis for guiding strategic decisions about resource allocation and intervention prioritization in the face of funding limitations.</w:t>
      </w:r>
    </w:p>
    <w:p w14:paraId="7613FD70" w14:textId="77777777" w:rsidR="00A75533" w:rsidRPr="007D0172" w:rsidRDefault="00A75533" w:rsidP="007D0172">
      <w:pPr>
        <w:pStyle w:val="NormalWeb"/>
        <w:spacing w:line="360" w:lineRule="auto"/>
        <w:rPr>
          <w:bCs/>
        </w:rPr>
      </w:pPr>
    </w:p>
    <w:p w14:paraId="7EC73359" w14:textId="3E284616" w:rsidR="00A75533" w:rsidRPr="00585215" w:rsidRDefault="00A75533" w:rsidP="007D0172">
      <w:pPr>
        <w:pStyle w:val="Heading1"/>
        <w:spacing w:line="360" w:lineRule="auto"/>
        <w:rPr>
          <w:rFonts w:ascii="Times New Roman" w:hAnsi="Times New Roman" w:cs="Times New Roman"/>
          <w:bCs/>
          <w:sz w:val="24"/>
          <w:szCs w:val="24"/>
          <w:lang w:val="en-US"/>
        </w:rPr>
      </w:pPr>
      <w:r w:rsidRPr="00585215">
        <w:rPr>
          <w:rFonts w:ascii="Times New Roman" w:hAnsi="Times New Roman" w:cs="Times New Roman"/>
          <w:bCs/>
          <w:sz w:val="24"/>
          <w:szCs w:val="24"/>
          <w:lang w:val="en-US"/>
        </w:rPr>
        <w:t>Methodology</w:t>
      </w:r>
    </w:p>
    <w:p w14:paraId="033EC568" w14:textId="77777777" w:rsidR="007D0172" w:rsidRPr="007D0172" w:rsidRDefault="007D0172" w:rsidP="007D0172">
      <w:pPr>
        <w:pStyle w:val="Heading2"/>
        <w:spacing w:line="360" w:lineRule="auto"/>
        <w:rPr>
          <w:rFonts w:ascii="Times New Roman" w:hAnsi="Times New Roman" w:cs="Times New Roman"/>
          <w:sz w:val="24"/>
          <w:szCs w:val="24"/>
          <w:lang w:val="en-US"/>
        </w:rPr>
      </w:pPr>
      <w:r w:rsidRPr="007D0172">
        <w:rPr>
          <w:rFonts w:ascii="Times New Roman" w:hAnsi="Times New Roman" w:cs="Times New Roman"/>
          <w:sz w:val="24"/>
          <w:szCs w:val="24"/>
          <w:lang w:val="en-US"/>
        </w:rPr>
        <w:t>OpenMalaria Simulation Model</w:t>
      </w:r>
    </w:p>
    <w:p w14:paraId="1A27CB93" w14:textId="7233DBB9" w:rsidR="007D0172" w:rsidRPr="007D0172" w:rsidRDefault="007D0172" w:rsidP="007D0172">
      <w:pPr>
        <w:spacing w:line="360" w:lineRule="auto"/>
        <w:rPr>
          <w:rFonts w:ascii="Times New Roman" w:hAnsi="Times New Roman" w:cs="Times New Roman"/>
          <w:sz w:val="24"/>
          <w:szCs w:val="24"/>
          <w:lang w:val="en-US"/>
        </w:rPr>
      </w:pPr>
      <w:r w:rsidRPr="007D0172">
        <w:rPr>
          <w:rFonts w:ascii="Times New Roman" w:hAnsi="Times New Roman" w:cs="Times New Roman"/>
          <w:sz w:val="24"/>
          <w:szCs w:val="24"/>
          <w:lang w:val="en-US"/>
        </w:rPr>
        <w:t xml:space="preserve">OpenMalaria, developed by the Swiss Tropical and Public Health Institute, is an individual-based model used to simulate the dynamics of malaria transmission and epidemiology, and the impact of interventions on health and economic outcomes. It is a stochastic open-source program written in C++. Initially designed for modeling malaria vaccines, it employs microsimulations to depict </w:t>
      </w:r>
      <w:r w:rsidRPr="007D0172">
        <w:rPr>
          <w:rFonts w:ascii="Times New Roman" w:hAnsi="Times New Roman" w:cs="Times New Roman"/>
          <w:i/>
          <w:sz w:val="24"/>
          <w:szCs w:val="24"/>
          <w:lang w:val="en-US"/>
        </w:rPr>
        <w:t>Plasmodium falciparum</w:t>
      </w:r>
      <w:r w:rsidRPr="007D0172">
        <w:rPr>
          <w:rFonts w:ascii="Times New Roman" w:hAnsi="Times New Roman" w:cs="Times New Roman"/>
          <w:sz w:val="24"/>
          <w:szCs w:val="24"/>
          <w:lang w:val="en-US"/>
        </w:rPr>
        <w:t xml:space="preserve"> malaria dynamics in human populations. The model simulates various aspects, including the dynamics of malaria parasitemia during infection, the life cycle of mosquitoes, disease transmission between humans and mosquitoes, the development of anti-malaria immunity in human hosts, and the progression to illness and mortality. OpenMalaria simulates malaria in human and vector populations, and has been used extensively to investigate multiple questions relating to disease dynamics or the use of existing and new interventions </w:t>
      </w:r>
      <w:r w:rsidRPr="007D0172">
        <w:rPr>
          <w:rFonts w:ascii="Times New Roman" w:hAnsi="Times New Roman" w:cs="Times New Roman"/>
          <w:sz w:val="24"/>
          <w:szCs w:val="24"/>
          <w:lang w:val="en-US"/>
        </w:rPr>
        <w:fldChar w:fldCharType="begin"/>
      </w:r>
      <w:r w:rsidR="00585215">
        <w:rPr>
          <w:rFonts w:ascii="Times New Roman" w:hAnsi="Times New Roman" w:cs="Times New Roman"/>
          <w:sz w:val="24"/>
          <w:szCs w:val="24"/>
          <w:lang w:val="en-US"/>
        </w:rPr>
        <w:instrText xml:space="preserve"> ADDIN ZOTERO_ITEM CSL_CITATION {"citationID":"XcwYJl3Y","properties":{"formattedCitation":"[12]","plainCitation":"[12]","noteIndex":0},"citationItems":[{"id":6313,"uris":["http://zotero.org/users/13629295/items/G3DX76QJ"],"itemData":{"id":6313,"type":"webpage","abstract":"A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Pr="007D0172">
        <w:rPr>
          <w:rFonts w:ascii="Times New Roman" w:hAnsi="Times New Roman" w:cs="Times New Roman"/>
          <w:sz w:val="24"/>
          <w:szCs w:val="24"/>
          <w:lang w:val="en-US"/>
        </w:rPr>
        <w:fldChar w:fldCharType="separate"/>
      </w:r>
      <w:r w:rsidR="00585215" w:rsidRPr="00585215">
        <w:rPr>
          <w:rFonts w:ascii="Times New Roman" w:hAnsi="Times New Roman" w:cs="Times New Roman"/>
          <w:sz w:val="24"/>
          <w:lang w:val="en-US"/>
        </w:rPr>
        <w:t>[12]</w:t>
      </w:r>
      <w:r w:rsidRPr="007D0172">
        <w:rPr>
          <w:rFonts w:ascii="Times New Roman" w:hAnsi="Times New Roman" w:cs="Times New Roman"/>
          <w:sz w:val="24"/>
          <w:szCs w:val="24"/>
          <w:lang w:val="en-US"/>
        </w:rPr>
        <w:fldChar w:fldCharType="end"/>
      </w:r>
      <w:r w:rsidRPr="007D0172">
        <w:rPr>
          <w:rFonts w:ascii="Times New Roman" w:hAnsi="Times New Roman" w:cs="Times New Roman"/>
          <w:sz w:val="24"/>
          <w:szCs w:val="24"/>
          <w:lang w:val="en-US"/>
        </w:rPr>
        <w:t>.</w:t>
      </w:r>
    </w:p>
    <w:p w14:paraId="03B98101" w14:textId="77777777" w:rsidR="007D0172" w:rsidRPr="007D0172" w:rsidRDefault="007D0172" w:rsidP="007D0172">
      <w:pPr>
        <w:pStyle w:val="Heading2"/>
        <w:spacing w:line="360" w:lineRule="auto"/>
        <w:rPr>
          <w:rFonts w:ascii="Times New Roman" w:hAnsi="Times New Roman" w:cs="Times New Roman"/>
          <w:sz w:val="24"/>
          <w:szCs w:val="24"/>
          <w:lang w:val="en-US"/>
        </w:rPr>
      </w:pPr>
      <w:r w:rsidRPr="007D0172">
        <w:rPr>
          <w:rFonts w:ascii="Times New Roman" w:hAnsi="Times New Roman" w:cs="Times New Roman"/>
          <w:sz w:val="24"/>
          <w:szCs w:val="24"/>
          <w:lang w:val="en-US"/>
        </w:rPr>
        <w:t>Simulation Process</w:t>
      </w:r>
    </w:p>
    <w:p w14:paraId="7E96A920" w14:textId="35B8A16B" w:rsidR="007D0172" w:rsidRPr="007D0172" w:rsidRDefault="007D0172" w:rsidP="007D0172">
      <w:pPr>
        <w:spacing w:line="360" w:lineRule="auto"/>
        <w:rPr>
          <w:rFonts w:ascii="Times New Roman" w:hAnsi="Times New Roman" w:cs="Times New Roman"/>
          <w:sz w:val="24"/>
          <w:szCs w:val="24"/>
          <w:lang w:val="en-US"/>
        </w:rPr>
      </w:pPr>
      <w:r w:rsidRPr="007D0172">
        <w:rPr>
          <w:rFonts w:ascii="Times New Roman" w:hAnsi="Times New Roman" w:cs="Times New Roman"/>
          <w:sz w:val="24"/>
          <w:szCs w:val="24"/>
          <w:lang w:val="en-US"/>
        </w:rPr>
        <w:t xml:space="preserve">We used OpenMalaria v44.0 </w:t>
      </w:r>
      <w:r w:rsidRPr="007D0172">
        <w:rPr>
          <w:rFonts w:ascii="Times New Roman" w:hAnsi="Times New Roman" w:cs="Times New Roman"/>
          <w:sz w:val="24"/>
          <w:szCs w:val="24"/>
          <w:lang w:val="en-US"/>
        </w:rPr>
        <w:fldChar w:fldCharType="begin"/>
      </w:r>
      <w:r w:rsidR="00585215">
        <w:rPr>
          <w:rFonts w:ascii="Times New Roman" w:hAnsi="Times New Roman" w:cs="Times New Roman"/>
          <w:sz w:val="24"/>
          <w:szCs w:val="24"/>
          <w:lang w:val="en-US"/>
        </w:rPr>
        <w:instrText xml:space="preserve"> ADDIN ZOTERO_ITEM CSL_CITATION {"citationID":"jRNIFVvV","properties":{"formattedCitation":"[12]","plainCitation":"[12]","noteIndex":0},"citationItems":[{"id":6313,"uris":["http://zotero.org/users/13629295/items/G3DX76QJ"],"itemData":{"id":6313,"type":"webpage","abstract":"A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Pr="007D0172">
        <w:rPr>
          <w:rFonts w:ascii="Times New Roman" w:hAnsi="Times New Roman" w:cs="Times New Roman"/>
          <w:sz w:val="24"/>
          <w:szCs w:val="24"/>
          <w:lang w:val="en-US"/>
        </w:rPr>
        <w:fldChar w:fldCharType="separate"/>
      </w:r>
      <w:r w:rsidR="00585215" w:rsidRPr="00585215">
        <w:rPr>
          <w:rFonts w:ascii="Times New Roman" w:hAnsi="Times New Roman" w:cs="Times New Roman"/>
          <w:sz w:val="24"/>
          <w:lang w:val="en-US"/>
        </w:rPr>
        <w:t>[12]</w:t>
      </w:r>
      <w:r w:rsidRPr="007D0172">
        <w:rPr>
          <w:rFonts w:ascii="Times New Roman" w:hAnsi="Times New Roman" w:cs="Times New Roman"/>
          <w:sz w:val="24"/>
          <w:szCs w:val="24"/>
          <w:lang w:val="en-US"/>
        </w:rPr>
        <w:fldChar w:fldCharType="end"/>
      </w:r>
      <w:r w:rsidRPr="007D0172">
        <w:rPr>
          <w:rFonts w:ascii="Times New Roman" w:hAnsi="Times New Roman" w:cs="Times New Roman"/>
          <w:sz w:val="24"/>
          <w:szCs w:val="24"/>
          <w:lang w:val="en-US"/>
        </w:rPr>
        <w:t xml:space="preserve"> to simulate malaria transmission dynamics and epidemiology at the district level in Ghana. To simulate malaria incidence in Ghana that reflects district-specific intervention combinations as specified in the National Malaria Elimination Strategic Plan (NMESP) </w:t>
      </w:r>
      <w:r w:rsidRPr="007D0172">
        <w:rPr>
          <w:rFonts w:ascii="Times New Roman" w:hAnsi="Times New Roman" w:cs="Times New Roman"/>
          <w:sz w:val="24"/>
          <w:szCs w:val="24"/>
          <w:lang w:val="en-US"/>
        </w:rPr>
        <w:fldChar w:fldCharType="begin"/>
      </w:r>
      <w:r w:rsidR="00585215">
        <w:rPr>
          <w:rFonts w:ascii="Times New Roman" w:hAnsi="Times New Roman" w:cs="Times New Roman"/>
          <w:sz w:val="24"/>
          <w:szCs w:val="24"/>
          <w:lang w:val="en-US"/>
        </w:rPr>
        <w:instrText xml:space="preserve"> ADDIN ZOTERO_ITEM CSL_CITATION {"citationID":"Zh4mZ9bo","properties":{"formattedCitation":"[13]","plainCitation":"[13]","noteIndex":0},"citationItems":[{"id":27,"uris":["http://zotero.org/users/13629295/items/QDMZZD8I"],"itemData":{"id":27,"type":"document","title":"National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Pr="007D0172">
        <w:rPr>
          <w:rFonts w:ascii="Times New Roman" w:hAnsi="Times New Roman" w:cs="Times New Roman"/>
          <w:sz w:val="24"/>
          <w:szCs w:val="24"/>
          <w:lang w:val="en-US"/>
        </w:rPr>
        <w:fldChar w:fldCharType="separate"/>
      </w:r>
      <w:r w:rsidR="00585215" w:rsidRPr="00585215">
        <w:rPr>
          <w:rFonts w:ascii="Times New Roman" w:hAnsi="Times New Roman" w:cs="Times New Roman"/>
          <w:sz w:val="24"/>
          <w:lang w:val="en-US"/>
        </w:rPr>
        <w:t>[13]</w:t>
      </w:r>
      <w:r w:rsidRPr="007D0172">
        <w:rPr>
          <w:rFonts w:ascii="Times New Roman" w:hAnsi="Times New Roman" w:cs="Times New Roman"/>
          <w:sz w:val="24"/>
          <w:szCs w:val="24"/>
          <w:lang w:val="en-US"/>
        </w:rPr>
        <w:fldChar w:fldCharType="end"/>
      </w:r>
      <w:r w:rsidRPr="007D0172">
        <w:rPr>
          <w:rFonts w:ascii="Times New Roman" w:hAnsi="Times New Roman" w:cs="Times New Roman"/>
          <w:sz w:val="24"/>
          <w:szCs w:val="24"/>
          <w:lang w:val="en-US"/>
        </w:rPr>
        <w:t xml:space="preserve">, the model was calibrated to district-level prevalence estimates of 2-10 year children by the Malaria Atlas Project (MAP) starting from 2015. The calibration step was used to reproduce historical malaria trends while estimating each district's entomological inoculation rate (malaria transmission intensity). The calibrated model was validated using case data from the World Malaria Report (WMR) and the Demographic and Health Indicator Survey (DHIS2), but also prevalence estimates for malaria indicator surveys (MIS). </w:t>
      </w:r>
    </w:p>
    <w:p w14:paraId="74E31F71" w14:textId="77777777" w:rsidR="007D0172" w:rsidRPr="007D0172" w:rsidRDefault="007D0172" w:rsidP="007D0172">
      <w:pPr>
        <w:autoSpaceDE w:val="0"/>
        <w:autoSpaceDN w:val="0"/>
        <w:adjustRightInd w:val="0"/>
        <w:spacing w:after="0" w:line="360" w:lineRule="auto"/>
        <w:rPr>
          <w:rFonts w:ascii="Times New Roman" w:hAnsi="Times New Roman" w:cs="Times New Roman"/>
          <w:sz w:val="24"/>
          <w:szCs w:val="24"/>
          <w:highlight w:val="green"/>
          <w:lang w:val="en-US"/>
        </w:rPr>
      </w:pPr>
      <w:r w:rsidRPr="007D0172">
        <w:rPr>
          <w:rFonts w:ascii="Times New Roman" w:hAnsi="Times New Roman" w:cs="Times New Roman"/>
          <w:sz w:val="24"/>
          <w:szCs w:val="24"/>
          <w:highlight w:val="green"/>
          <w:lang w:val="en-US"/>
        </w:rPr>
        <w:t>We used an age-structured population of 10,000 informed by the …?</w:t>
      </w:r>
    </w:p>
    <w:p w14:paraId="483A24C4" w14:textId="77777777" w:rsidR="007D0172" w:rsidRPr="007D0172" w:rsidRDefault="007D0172" w:rsidP="007D0172">
      <w:pPr>
        <w:autoSpaceDE w:val="0"/>
        <w:autoSpaceDN w:val="0"/>
        <w:adjustRightInd w:val="0"/>
        <w:spacing w:after="0" w:line="360" w:lineRule="auto"/>
        <w:rPr>
          <w:rFonts w:ascii="Times New Roman" w:hAnsi="Times New Roman" w:cs="Times New Roman"/>
          <w:sz w:val="24"/>
          <w:szCs w:val="24"/>
          <w:highlight w:val="yellow"/>
          <w:lang w:val="en-US"/>
        </w:rPr>
      </w:pPr>
    </w:p>
    <w:p w14:paraId="79A150A3" w14:textId="77777777" w:rsidR="007D0172" w:rsidRPr="007D0172" w:rsidRDefault="007D0172" w:rsidP="007D0172">
      <w:pPr>
        <w:autoSpaceDE w:val="0"/>
        <w:autoSpaceDN w:val="0"/>
        <w:adjustRightInd w:val="0"/>
        <w:spacing w:after="0" w:line="360" w:lineRule="auto"/>
        <w:rPr>
          <w:rFonts w:ascii="Times New Roman" w:hAnsi="Times New Roman" w:cs="Times New Roman"/>
          <w:sz w:val="24"/>
          <w:szCs w:val="24"/>
          <w:lang w:val="en-US"/>
        </w:rPr>
      </w:pPr>
      <w:r w:rsidRPr="007D0172">
        <w:rPr>
          <w:rFonts w:ascii="Times New Roman" w:hAnsi="Times New Roman" w:cs="Times New Roman"/>
          <w:sz w:val="24"/>
          <w:szCs w:val="24"/>
          <w:lang w:val="en-US"/>
        </w:rPr>
        <w:t xml:space="preserve">Data from demographic and health surveillance surveys (DHS) and MIS between 2003 and 2019 were used to estimate access to care in the different regions in Ghana. Estimates of vector species density were obtained from a publicly available dataset provided by MAP. DHIS2 case count data between 2015 and 2022 were averaged by month and region, and </w:t>
      </w:r>
      <w:r w:rsidRPr="007D0172">
        <w:rPr>
          <w:rFonts w:ascii="Times New Roman" w:hAnsi="Times New Roman" w:cs="Times New Roman"/>
          <w:sz w:val="24"/>
          <w:szCs w:val="24"/>
          <w:lang w:val="en-US"/>
        </w:rPr>
        <w:lastRenderedPageBreak/>
        <w:t xml:space="preserve">were used to parameterize seasonal transmission patterns. </w:t>
      </w:r>
      <w:r w:rsidRPr="007D0172">
        <w:rPr>
          <w:rFonts w:ascii="Times New Roman" w:hAnsi="Times New Roman" w:cs="Times New Roman"/>
          <w:color w:val="000000"/>
          <w:sz w:val="24"/>
          <w:szCs w:val="24"/>
          <w:lang w:val="en-US"/>
        </w:rPr>
        <w:t xml:space="preserve">Characteristics, including demographics, mosquito species composition, their biting patterns, and the entomological inoculation rate, were modelled, and the human and vector interventions in the NSP were applied. </w:t>
      </w:r>
      <w:r w:rsidRPr="007D0172">
        <w:rPr>
          <w:rFonts w:ascii="Times New Roman" w:hAnsi="Times New Roman" w:cs="Times New Roman"/>
          <w:sz w:val="24"/>
          <w:szCs w:val="24"/>
          <w:lang w:val="en-US"/>
        </w:rPr>
        <w:t>Since OpenMalaria is a complex model with many input parameters, it is computationally intensive to run an exhaustive number of simulations; hence, we implemented the Latin hypercube sampling (LHS) method to reduce the number of model runs.</w:t>
      </w:r>
      <w:r w:rsidRPr="007D0172">
        <w:rPr>
          <w:rFonts w:ascii="Times New Roman" w:hAnsi="Times New Roman" w:cs="Times New Roman"/>
          <w:color w:val="000000"/>
          <w:sz w:val="24"/>
          <w:szCs w:val="24"/>
          <w:lang w:val="en-US"/>
        </w:rPr>
        <w:t xml:space="preserve"> Various health outcomes were monitored over time, including </w:t>
      </w:r>
      <w:r w:rsidRPr="007D0172">
        <w:rPr>
          <w:rFonts w:ascii="Times New Roman" w:hAnsi="Times New Roman" w:cs="Times New Roman"/>
          <w:i/>
          <w:color w:val="000000"/>
          <w:sz w:val="24"/>
          <w:szCs w:val="24"/>
          <w:lang w:val="en-US"/>
        </w:rPr>
        <w:t>Plasmodium falciparum</w:t>
      </w:r>
      <w:r w:rsidRPr="007D0172">
        <w:rPr>
          <w:rFonts w:ascii="Times New Roman" w:hAnsi="Times New Roman" w:cs="Times New Roman"/>
          <w:color w:val="000000"/>
          <w:sz w:val="24"/>
          <w:szCs w:val="24"/>
          <w:lang w:val="en-US"/>
        </w:rPr>
        <w:t xml:space="preserve"> parasite prevalence and incidence.</w:t>
      </w:r>
      <w:r w:rsidRPr="007D0172">
        <w:rPr>
          <w:rFonts w:ascii="Times New Roman" w:hAnsi="Times New Roman" w:cs="Times New Roman"/>
          <w:sz w:val="24"/>
          <w:szCs w:val="24"/>
          <w:lang w:val="en-US"/>
        </w:rPr>
        <w:t xml:space="preserve"> This sampling scheme ensured uniform coverage of the parameter space and a representative set of points spanning the variability of the model output across the entire space. OpenMalaria was run on the sampled data, and </w:t>
      </w:r>
      <w:r w:rsidRPr="007D0172">
        <w:rPr>
          <w:rFonts w:ascii="Times New Roman" w:hAnsi="Times New Roman" w:cs="Times New Roman"/>
          <w:iCs/>
          <w:sz w:val="24"/>
          <w:szCs w:val="24"/>
          <w:lang w:val="en-US"/>
        </w:rPr>
        <w:t>incidence</w:t>
      </w:r>
      <w:r w:rsidRPr="007D0172">
        <w:rPr>
          <w:rFonts w:ascii="Times New Roman" w:hAnsi="Times New Roman" w:cs="Times New Roman"/>
          <w:sz w:val="24"/>
          <w:szCs w:val="24"/>
          <w:lang w:val="en-US"/>
        </w:rPr>
        <w:t xml:space="preserve"> reduction was calculated as the model output of interest.</w:t>
      </w:r>
    </w:p>
    <w:p w14:paraId="3C9F6A76" w14:textId="77777777" w:rsidR="007D0172" w:rsidRPr="007D0172" w:rsidRDefault="007D0172" w:rsidP="007D0172">
      <w:pPr>
        <w:autoSpaceDE w:val="0"/>
        <w:autoSpaceDN w:val="0"/>
        <w:adjustRightInd w:val="0"/>
        <w:spacing w:after="0" w:line="360" w:lineRule="auto"/>
        <w:rPr>
          <w:rFonts w:ascii="Times New Roman" w:hAnsi="Times New Roman" w:cs="Times New Roman"/>
          <w:color w:val="000000"/>
          <w:sz w:val="24"/>
          <w:szCs w:val="24"/>
          <w:lang w:val="en-US"/>
        </w:rPr>
      </w:pPr>
    </w:p>
    <w:p w14:paraId="4AC40469" w14:textId="77777777" w:rsidR="007D0172" w:rsidRPr="007D0172" w:rsidRDefault="007D0172" w:rsidP="007D0172">
      <w:pPr>
        <w:autoSpaceDE w:val="0"/>
        <w:autoSpaceDN w:val="0"/>
        <w:adjustRightInd w:val="0"/>
        <w:spacing w:after="0" w:line="360" w:lineRule="auto"/>
        <w:rPr>
          <w:rFonts w:ascii="Times New Roman" w:hAnsi="Times New Roman" w:cs="Times New Roman"/>
          <w:color w:val="000000"/>
          <w:sz w:val="24"/>
          <w:szCs w:val="24"/>
          <w:lang w:val="en-US"/>
        </w:rPr>
      </w:pPr>
    </w:p>
    <w:p w14:paraId="5CEA1E4A" w14:textId="77777777" w:rsidR="007D0172" w:rsidRPr="007D0172" w:rsidRDefault="007D0172" w:rsidP="007D0172">
      <w:pPr>
        <w:pStyle w:val="Heading2"/>
        <w:spacing w:line="360" w:lineRule="auto"/>
        <w:rPr>
          <w:rFonts w:ascii="Times New Roman" w:hAnsi="Times New Roman" w:cs="Times New Roman"/>
          <w:sz w:val="24"/>
          <w:szCs w:val="24"/>
          <w:lang w:val="en-US"/>
        </w:rPr>
      </w:pPr>
      <w:r w:rsidRPr="007D0172">
        <w:rPr>
          <w:rFonts w:ascii="Times New Roman" w:hAnsi="Times New Roman" w:cs="Times New Roman"/>
          <w:sz w:val="24"/>
          <w:szCs w:val="24"/>
          <w:lang w:val="en-US"/>
        </w:rPr>
        <w:t>Gaussian Process Surrogate Model</w:t>
      </w:r>
    </w:p>
    <w:p w14:paraId="1C98D72D" w14:textId="243F631C" w:rsidR="007D0172" w:rsidRPr="007D0172" w:rsidRDefault="007D0172" w:rsidP="007D0172">
      <w:pPr>
        <w:autoSpaceDE w:val="0"/>
        <w:autoSpaceDN w:val="0"/>
        <w:adjustRightInd w:val="0"/>
        <w:spacing w:after="0" w:line="360" w:lineRule="auto"/>
        <w:rPr>
          <w:rFonts w:ascii="Times New Roman" w:hAnsi="Times New Roman" w:cs="Times New Roman"/>
          <w:color w:val="000000"/>
          <w:sz w:val="24"/>
          <w:szCs w:val="24"/>
          <w:highlight w:val="yellow"/>
          <w:lang w:val="en-US"/>
        </w:rPr>
      </w:pPr>
      <w:r w:rsidRPr="007D0172">
        <w:rPr>
          <w:rFonts w:ascii="Times New Roman" w:hAnsi="Times New Roman" w:cs="Times New Roman"/>
          <w:sz w:val="24"/>
          <w:szCs w:val="24"/>
          <w:lang w:val="en-US"/>
        </w:rPr>
        <w:t xml:space="preserve">A surrogate model approximates a complex mathematical model by establishing statistical associations between high-dimensional model input parameters and model outputs of interest </w:t>
      </w:r>
      <w:r w:rsidRPr="007D0172">
        <w:rPr>
          <w:rFonts w:ascii="Times New Roman" w:hAnsi="Times New Roman" w:cs="Times New Roman"/>
          <w:sz w:val="24"/>
          <w:szCs w:val="24"/>
          <w:lang w:val="en-US"/>
        </w:rPr>
        <w:fldChar w:fldCharType="begin"/>
      </w:r>
      <w:r w:rsidR="00585215">
        <w:rPr>
          <w:rFonts w:ascii="Times New Roman" w:hAnsi="Times New Roman" w:cs="Times New Roman"/>
          <w:sz w:val="24"/>
          <w:szCs w:val="24"/>
          <w:lang w:val="en-US"/>
        </w:rPr>
        <w:instrText xml:space="preserve"> ADDIN ZOTERO_ITEM CSL_CITATION {"citationID":"e9BMbuZD","properties":{"formattedCitation":"[11]","plainCitation":"[11]","noteIndex":0},"citationItems":[{"id":8,"uris":["http://zotero.org/users/13629295/items/ZRNW4QHC"],"itemData":{"id":8,"type":"article-journal","abstract":"Substantial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A."}],"issued":{"date-parts":[["2022",6,4]]}}}],"schema":"https://github.com/citation-style-language/schema/raw/master/csl-citation.json"} </w:instrText>
      </w:r>
      <w:r w:rsidRPr="007D0172">
        <w:rPr>
          <w:rFonts w:ascii="Times New Roman" w:hAnsi="Times New Roman" w:cs="Times New Roman"/>
          <w:sz w:val="24"/>
          <w:szCs w:val="24"/>
          <w:lang w:val="en-US"/>
        </w:rPr>
        <w:fldChar w:fldCharType="separate"/>
      </w:r>
      <w:r w:rsidR="00585215" w:rsidRPr="00585215">
        <w:rPr>
          <w:rFonts w:ascii="Times New Roman" w:hAnsi="Times New Roman" w:cs="Times New Roman"/>
          <w:sz w:val="24"/>
          <w:lang w:val="en-US"/>
        </w:rPr>
        <w:t>[11]</w:t>
      </w:r>
      <w:r w:rsidRPr="007D0172">
        <w:rPr>
          <w:rFonts w:ascii="Times New Roman" w:hAnsi="Times New Roman" w:cs="Times New Roman"/>
          <w:sz w:val="24"/>
          <w:szCs w:val="24"/>
          <w:lang w:val="en-US"/>
        </w:rPr>
        <w:fldChar w:fldCharType="end"/>
      </w:r>
      <w:r w:rsidRPr="007D0172">
        <w:rPr>
          <w:rFonts w:ascii="Times New Roman" w:hAnsi="Times New Roman" w:cs="Times New Roman"/>
          <w:sz w:val="24"/>
          <w:szCs w:val="24"/>
          <w:lang w:val="en-US"/>
        </w:rPr>
        <w:t xml:space="preserve">. Since running simulations using OpenMalaria is resource-intensive, and generating the high volume of data required for a comprehensive sensitivity analysis is computationally expensive, a Gaussian process (GP) surrogate model was trained to predict OpenMalaria outputs to generate data for the sensitivity analysis. Once trained, GP models reduce computational costs and shorten the amount of time needed to implement model runs: instead of running </w:t>
      </w:r>
      <w:r w:rsidR="00E73973" w:rsidRPr="007D0172">
        <w:rPr>
          <w:rFonts w:ascii="Times New Roman" w:hAnsi="Times New Roman" w:cs="Times New Roman"/>
          <w:sz w:val="24"/>
          <w:szCs w:val="24"/>
          <w:lang w:val="en-US"/>
        </w:rPr>
        <w:t>many</w:t>
      </w:r>
      <w:r w:rsidRPr="007D0172">
        <w:rPr>
          <w:rFonts w:ascii="Times New Roman" w:hAnsi="Times New Roman" w:cs="Times New Roman"/>
          <w:sz w:val="24"/>
          <w:szCs w:val="24"/>
          <w:lang w:val="en-US"/>
        </w:rPr>
        <w:t xml:space="preserve"> simulations under various scenarios using OpenMalaria, one only needs to evaluate the input parameters under a surrogate model. A training dataset of simulations was generated using OpenMalaria, and Gaussian process (GP) models </w:t>
      </w:r>
      <w:r w:rsidRPr="007D0172">
        <w:rPr>
          <w:rFonts w:ascii="Times New Roman" w:hAnsi="Times New Roman" w:cs="Times New Roman"/>
          <w:sz w:val="24"/>
          <w:szCs w:val="24"/>
          <w:lang w:val="en-US"/>
        </w:rPr>
        <w:fldChar w:fldCharType="begin"/>
      </w:r>
      <w:r w:rsidR="00585215">
        <w:rPr>
          <w:rFonts w:ascii="Times New Roman" w:hAnsi="Times New Roman" w:cs="Times New Roman"/>
          <w:sz w:val="24"/>
          <w:szCs w:val="24"/>
          <w:lang w:val="en-US"/>
        </w:rPr>
        <w:instrText xml:space="preserve"> ADDIN ZOTERO_ITEM CSL_CITATION {"citationID":"7zKPYpBx","properties":{"formattedCitation":"[14]","plainCitation":"[14]","noteIndex":0},"citationItems":[{"id":6314,"uris":["http://zotero.org/users/13629295/items/FT8XEMF3"],"itemData":{"id":6314,"type":"book","title":"Gaussian Process  for Machine Learning","URL":"www.GaussianProcess.org/gpml","author":[{"family":"C. E. Rasmussen","given":""},{"family":"C. K. I. Williams","given":""}]}}],"schema":"https://github.com/citation-style-language/schema/raw/master/csl-citation.json"} </w:instrText>
      </w:r>
      <w:r w:rsidRPr="007D0172">
        <w:rPr>
          <w:rFonts w:ascii="Times New Roman" w:hAnsi="Times New Roman" w:cs="Times New Roman"/>
          <w:sz w:val="24"/>
          <w:szCs w:val="24"/>
          <w:lang w:val="en-US"/>
        </w:rPr>
        <w:fldChar w:fldCharType="separate"/>
      </w:r>
      <w:r w:rsidR="00585215" w:rsidRPr="00585215">
        <w:rPr>
          <w:rFonts w:ascii="Times New Roman" w:hAnsi="Times New Roman" w:cs="Times New Roman"/>
          <w:sz w:val="24"/>
          <w:lang w:val="en-US"/>
        </w:rPr>
        <w:t>[14]</w:t>
      </w:r>
      <w:r w:rsidRPr="007D0172">
        <w:rPr>
          <w:rFonts w:ascii="Times New Roman" w:hAnsi="Times New Roman" w:cs="Times New Roman"/>
          <w:sz w:val="24"/>
          <w:szCs w:val="24"/>
          <w:lang w:val="en-US"/>
        </w:rPr>
        <w:fldChar w:fldCharType="end"/>
      </w:r>
      <w:r w:rsidRPr="007D0172">
        <w:rPr>
          <w:rFonts w:ascii="Times New Roman" w:hAnsi="Times New Roman" w:cs="Times New Roman"/>
          <w:sz w:val="24"/>
          <w:szCs w:val="24"/>
          <w:lang w:val="en-US"/>
        </w:rPr>
        <w:t xml:space="preserve"> were used to infer the relationship between simulation variables (ie, intervention coverage, half-life, efficacy, and vector composition) and corresponding intervention impact (</w:t>
      </w:r>
      <w:r w:rsidRPr="007D0172">
        <w:rPr>
          <w:rFonts w:ascii="Times New Roman" w:hAnsi="Times New Roman" w:cs="Times New Roman"/>
          <w:iCs/>
          <w:sz w:val="24"/>
          <w:szCs w:val="24"/>
          <w:lang w:val="en-US"/>
        </w:rPr>
        <w:t>incidence</w:t>
      </w:r>
      <w:r w:rsidRPr="007D0172">
        <w:rPr>
          <w:rFonts w:ascii="Times New Roman" w:hAnsi="Times New Roman" w:cs="Times New Roman"/>
          <w:sz w:val="24"/>
          <w:szCs w:val="24"/>
          <w:lang w:val="en-US"/>
        </w:rPr>
        <w:t xml:space="preserve"> reduction). This approach resulted in a computationally efficient predictive model that calculates disease model outputs from input values sampled during the sensitivity analysis. The surrogate model has the advantage of not requiring running OpenMalaria simulations. </w:t>
      </w:r>
      <w:r w:rsidRPr="007D0172">
        <w:rPr>
          <w:rFonts w:ascii="Times New Roman" w:hAnsi="Times New Roman" w:cs="Times New Roman"/>
          <w:iCs/>
          <w:color w:val="000000"/>
          <w:sz w:val="24"/>
          <w:szCs w:val="24"/>
          <w:lang w:val="en-US"/>
        </w:rPr>
        <w:t xml:space="preserve">A GP model with a Gaussian kernel was trained using the training dataset with OpenMalaria simulations for each district. The R package HetGP version 1.1.1 </w:t>
      </w:r>
      <w:r w:rsidRPr="007D0172">
        <w:rPr>
          <w:rFonts w:ascii="Times New Roman" w:hAnsi="Times New Roman" w:cs="Times New Roman"/>
          <w:iCs/>
          <w:color w:val="000000"/>
          <w:sz w:val="24"/>
          <w:szCs w:val="24"/>
          <w:lang w:val="en-US"/>
        </w:rPr>
        <w:fldChar w:fldCharType="begin"/>
      </w:r>
      <w:r w:rsidR="00585215">
        <w:rPr>
          <w:rFonts w:ascii="Times New Roman" w:hAnsi="Times New Roman" w:cs="Times New Roman"/>
          <w:iCs/>
          <w:color w:val="000000"/>
          <w:sz w:val="24"/>
          <w:szCs w:val="24"/>
          <w:lang w:val="en-US"/>
        </w:rPr>
        <w:instrText xml:space="preserve"> ADDIN ZOTERO_ITEM CSL_CITATION {"citationID":"uFJpwkB5","properties":{"formattedCitation":"[15]","plainCitation":"[15]","noteIndex":0},"citationItems":[{"id":6315,"uris":["http://zotero.org/users/13629295/items/MH25277Z"],"itemData":{"id":6315,"type":"webpage","title":"Index of /web/packages/hetGP/vignettes","URL":"https://cran.r-project.org/web/packages/hetGP/vignettes/","accessed":{"date-parts":[["2025",5,5]]}}}],"schema":"https://github.com/citation-style-language/schema/raw/master/csl-citation.json"} </w:instrText>
      </w:r>
      <w:r w:rsidRPr="007D0172">
        <w:rPr>
          <w:rFonts w:ascii="Times New Roman" w:hAnsi="Times New Roman" w:cs="Times New Roman"/>
          <w:iCs/>
          <w:color w:val="000000"/>
          <w:sz w:val="24"/>
          <w:szCs w:val="24"/>
          <w:lang w:val="en-US"/>
        </w:rPr>
        <w:fldChar w:fldCharType="separate"/>
      </w:r>
      <w:r w:rsidR="00585215" w:rsidRPr="00585215">
        <w:rPr>
          <w:rFonts w:ascii="Times New Roman" w:hAnsi="Times New Roman" w:cs="Times New Roman"/>
          <w:sz w:val="24"/>
          <w:lang w:val="en-US"/>
        </w:rPr>
        <w:t>[15]</w:t>
      </w:r>
      <w:r w:rsidRPr="007D0172">
        <w:rPr>
          <w:rFonts w:ascii="Times New Roman" w:hAnsi="Times New Roman" w:cs="Times New Roman"/>
          <w:iCs/>
          <w:color w:val="000000"/>
          <w:sz w:val="24"/>
          <w:szCs w:val="24"/>
          <w:lang w:val="en-US"/>
        </w:rPr>
        <w:fldChar w:fldCharType="end"/>
      </w:r>
      <w:r w:rsidRPr="007D0172">
        <w:rPr>
          <w:rFonts w:ascii="Times New Roman" w:hAnsi="Times New Roman" w:cs="Times New Roman"/>
          <w:iCs/>
          <w:color w:val="000000"/>
          <w:sz w:val="24"/>
          <w:szCs w:val="24"/>
          <w:lang w:val="en-US"/>
        </w:rPr>
        <w:t xml:space="preserve"> was used in training the GP. HetGP is a powerful implementation of GP models, featuring heteroskedastic GP modeling embedded in a fast and efficient maximum-likelihood-based inference scheme. </w:t>
      </w:r>
      <w:r w:rsidRPr="007D0172">
        <w:rPr>
          <w:rFonts w:ascii="Times New Roman" w:hAnsi="Times New Roman" w:cs="Times New Roman"/>
          <w:color w:val="000000"/>
          <w:sz w:val="24"/>
          <w:szCs w:val="24"/>
          <w:lang w:val="en-US"/>
        </w:rPr>
        <w:t xml:space="preserve">The size of the training set </w:t>
      </w:r>
      <w:r w:rsidRPr="007D0172">
        <w:rPr>
          <w:rFonts w:ascii="Times New Roman" w:hAnsi="Times New Roman" w:cs="Times New Roman"/>
          <w:color w:val="000000"/>
          <w:sz w:val="24"/>
          <w:szCs w:val="24"/>
          <w:lang w:val="en-US"/>
        </w:rPr>
        <w:lastRenderedPageBreak/>
        <w:t>varied across districts, and the performance of the trained GP was assessed via the coefficient of determination (</w:t>
      </w:r>
      <m:oMath>
        <m:sSup>
          <m:sSupPr>
            <m:ctrlPr>
              <w:rPr>
                <w:rFonts w:ascii="Cambria Math" w:hAnsi="Cambria Math" w:cs="Times New Roman"/>
                <w:i/>
                <w:color w:val="000000"/>
                <w:sz w:val="24"/>
                <w:szCs w:val="24"/>
                <w:lang w:val="en-US"/>
              </w:rPr>
            </m:ctrlPr>
          </m:sSupPr>
          <m:e>
            <m:r>
              <w:rPr>
                <w:rFonts w:ascii="Cambria Math" w:hAnsi="Cambria Math" w:cs="Times New Roman"/>
                <w:color w:val="000000"/>
                <w:sz w:val="24"/>
                <w:szCs w:val="24"/>
                <w:lang w:val="en-US"/>
              </w:rPr>
              <m:t>R</m:t>
            </m:r>
          </m:e>
          <m:sup>
            <m:r>
              <w:rPr>
                <w:rFonts w:ascii="Cambria Math" w:hAnsi="Cambria Math" w:cs="Times New Roman"/>
                <w:color w:val="000000"/>
                <w:sz w:val="24"/>
                <w:szCs w:val="24"/>
                <w:lang w:val="en-US"/>
              </w:rPr>
              <m:t>2</m:t>
            </m:r>
          </m:sup>
        </m:sSup>
      </m:oMath>
      <w:r w:rsidRPr="007D0172">
        <w:rPr>
          <w:rFonts w:ascii="Times New Roman" w:hAnsi="Times New Roman" w:cs="Times New Roman"/>
          <w:color w:val="000000"/>
          <w:sz w:val="24"/>
          <w:szCs w:val="24"/>
          <w:lang w:val="en-US"/>
        </w:rPr>
        <w:t>).</w:t>
      </w:r>
    </w:p>
    <w:p w14:paraId="2E83881B" w14:textId="77777777" w:rsidR="007D0172" w:rsidRPr="007D0172" w:rsidRDefault="007D0172" w:rsidP="007D0172">
      <w:pPr>
        <w:autoSpaceDE w:val="0"/>
        <w:autoSpaceDN w:val="0"/>
        <w:adjustRightInd w:val="0"/>
        <w:spacing w:after="0" w:line="360" w:lineRule="auto"/>
        <w:rPr>
          <w:rFonts w:ascii="Times New Roman" w:hAnsi="Times New Roman" w:cs="Times New Roman"/>
          <w:color w:val="000000"/>
          <w:sz w:val="24"/>
          <w:szCs w:val="24"/>
          <w:highlight w:val="yellow"/>
          <w:lang w:val="en-US"/>
        </w:rPr>
      </w:pPr>
    </w:p>
    <w:p w14:paraId="0709347A" w14:textId="77777777" w:rsidR="007D0172" w:rsidRPr="007D0172" w:rsidRDefault="007D0172" w:rsidP="007D0172">
      <w:pPr>
        <w:pStyle w:val="Heading2"/>
        <w:spacing w:line="360" w:lineRule="auto"/>
        <w:rPr>
          <w:rFonts w:ascii="Times New Roman" w:hAnsi="Times New Roman" w:cs="Times New Roman"/>
          <w:sz w:val="24"/>
          <w:szCs w:val="24"/>
          <w:lang w:val="en-US"/>
        </w:rPr>
      </w:pPr>
      <w:r w:rsidRPr="007D0172">
        <w:rPr>
          <w:rFonts w:ascii="Times New Roman" w:hAnsi="Times New Roman" w:cs="Times New Roman"/>
          <w:sz w:val="24"/>
          <w:szCs w:val="24"/>
          <w:lang w:val="en-US"/>
        </w:rPr>
        <w:t>Sensitivity Analysis</w:t>
      </w:r>
    </w:p>
    <w:p w14:paraId="072ED66F" w14:textId="77777777" w:rsidR="007D0172" w:rsidRPr="007D0172" w:rsidRDefault="007D0172" w:rsidP="007D0172">
      <w:pPr>
        <w:spacing w:line="360" w:lineRule="auto"/>
        <w:rPr>
          <w:rFonts w:ascii="Times New Roman" w:hAnsi="Times New Roman" w:cs="Times New Roman"/>
          <w:sz w:val="24"/>
          <w:szCs w:val="24"/>
          <w:lang w:val="en-US"/>
        </w:rPr>
      </w:pPr>
      <w:r w:rsidRPr="007D0172">
        <w:rPr>
          <w:rFonts w:ascii="Times New Roman" w:hAnsi="Times New Roman" w:cs="Times New Roman"/>
          <w:sz w:val="24"/>
          <w:szCs w:val="24"/>
          <w:lang w:val="en-US"/>
        </w:rPr>
        <w:t>To quantify the contribution of individual and interaction effects of model input parameters to the output variance, Sobol’ sensitivity analysis method, a variance-based approach was employed. This approach decomposes the output variance into a sum of individual input parameter conditional variances:</w:t>
      </w:r>
    </w:p>
    <w:p w14:paraId="2AE516F3" w14:textId="77777777" w:rsidR="007D0172" w:rsidRPr="007D0172" w:rsidRDefault="007D0172" w:rsidP="007D0172">
      <w:pPr>
        <w:spacing w:line="360" w:lineRule="auto"/>
        <w:jc w:val="center"/>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V</m:t>
          </m:r>
          <m:d>
            <m:dPr>
              <m:ctrlPr>
                <w:rPr>
                  <w:rFonts w:ascii="Cambria Math" w:hAnsi="Cambria Math" w:cs="Times New Roman"/>
                  <w:i/>
                  <w:sz w:val="24"/>
                  <w:szCs w:val="24"/>
                  <w:lang w:val="en-US"/>
                </w:rPr>
              </m:ctrlPr>
            </m:dPr>
            <m:e>
              <m:r>
                <w:rPr>
                  <w:rFonts w:ascii="Cambria Math" w:hAnsi="Cambria Math" w:cs="Times New Roman"/>
                  <w:sz w:val="24"/>
                  <w:szCs w:val="24"/>
                  <w:lang w:val="en-US"/>
                </w:rPr>
                <m:t>Y</m:t>
              </m:r>
            </m:e>
          </m:d>
          <m:r>
            <w:rPr>
              <w:rFonts w:ascii="Cambria Math" w:hAnsi="Cambria Math" w:cs="Times New Roman"/>
              <w:sz w:val="24"/>
              <w:szCs w:val="24"/>
              <w:lang w:val="en-US"/>
            </w:rPr>
            <m:t>=</m:t>
          </m:r>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i</m:t>
              </m:r>
            </m:sub>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i</m:t>
                  </m:r>
                </m:sub>
              </m:sSub>
            </m:e>
          </m:nary>
          <m:r>
            <w:rPr>
              <w:rFonts w:ascii="Cambria Math" w:hAnsi="Cambria Math" w:cs="Times New Roman"/>
              <w:sz w:val="24"/>
              <w:szCs w:val="24"/>
              <w:lang w:val="en-US"/>
            </w:rPr>
            <m:t>+</m:t>
          </m:r>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i</m:t>
              </m:r>
            </m:sub>
            <m:sup/>
            <m:e>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j&gt;i</m:t>
                  </m:r>
                </m:sub>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ij</m:t>
                      </m:r>
                    </m:sub>
                  </m:sSub>
                </m:e>
              </m:nary>
            </m:e>
          </m:nary>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12…d</m:t>
              </m:r>
            </m:sub>
          </m:sSub>
        </m:oMath>
      </m:oMathPara>
    </w:p>
    <w:p w14:paraId="31AE2BB7" w14:textId="77777777" w:rsidR="007D0172" w:rsidRPr="007D0172" w:rsidRDefault="007D0172" w:rsidP="007D0172">
      <w:pPr>
        <w:spacing w:line="360" w:lineRule="auto"/>
        <w:rPr>
          <w:rFonts w:ascii="Times New Roman" w:eastAsiaTheme="minorEastAsia" w:hAnsi="Times New Roman" w:cs="Times New Roman"/>
          <w:sz w:val="24"/>
          <w:szCs w:val="24"/>
          <w:lang w:val="en-US"/>
        </w:rPr>
      </w:pPr>
      <w:r w:rsidRPr="007D0172">
        <w:rPr>
          <w:rFonts w:ascii="Times New Roman" w:eastAsiaTheme="minorEastAsia" w:hAnsi="Times New Roman" w:cs="Times New Roman"/>
          <w:sz w:val="24"/>
          <w:szCs w:val="24"/>
          <w:lang w:val="en-US"/>
        </w:rPr>
        <w:t>where Y is the model outcome (ie. incidence reduction), d is the number of model inputs, and the conditional variances are defined as</w:t>
      </w:r>
    </w:p>
    <w:p w14:paraId="01CFD13E" w14:textId="77777777" w:rsidR="007D0172" w:rsidRPr="007D0172" w:rsidRDefault="007D0172" w:rsidP="007D0172">
      <w:pPr>
        <w:spacing w:line="360" w:lineRule="auto"/>
        <w:jc w:val="center"/>
        <w:rPr>
          <w:rFonts w:ascii="Times New Roman" w:eastAsiaTheme="minorEastAsia" w:hAnsi="Times New Roman" w:cs="Times New Roman"/>
          <w:sz w:val="24"/>
          <w:szCs w:val="24"/>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i</m:t>
              </m:r>
            </m:sub>
          </m:sSub>
          <m:r>
            <w:rPr>
              <w:rFonts w:ascii="Cambria Math" w:hAnsi="Cambria Math" w:cs="Times New Roman"/>
              <w:sz w:val="24"/>
              <w:szCs w:val="24"/>
              <w:lang w:val="en-US"/>
            </w:rPr>
            <m:t>=</m:t>
          </m:r>
          <m:r>
            <m:rPr>
              <m:sty m:val="p"/>
            </m:rPr>
            <w:rPr>
              <w:rFonts w:ascii="Cambria Math" w:eastAsia="CambriaMath" w:hAnsi="Cambria Math" w:cs="Times New Roman"/>
              <w:sz w:val="24"/>
              <w:szCs w:val="24"/>
            </w:rPr>
            <m:t>Var(E(Y|</m:t>
          </m:r>
          <m:sSub>
            <m:sSubPr>
              <m:ctrlPr>
                <w:rPr>
                  <w:rFonts w:ascii="Cambria Math" w:eastAsia="CambriaMath" w:hAnsi="Cambria Math" w:cs="Times New Roman"/>
                  <w:sz w:val="24"/>
                  <w:szCs w:val="24"/>
                </w:rPr>
              </m:ctrlPr>
            </m:sSubPr>
            <m:e>
              <m:r>
                <w:rPr>
                  <w:rFonts w:ascii="Cambria Math" w:eastAsia="CambriaMath" w:hAnsi="Cambria Math" w:cs="Times New Roman"/>
                  <w:sz w:val="24"/>
                  <w:szCs w:val="24"/>
                </w:rPr>
                <m:t>x</m:t>
              </m:r>
            </m:e>
            <m:sub>
              <m:r>
                <w:rPr>
                  <w:rFonts w:ascii="Cambria Math" w:eastAsia="CambriaMath" w:hAnsi="Cambria Math" w:cs="Times New Roman"/>
                  <w:sz w:val="24"/>
                  <w:szCs w:val="24"/>
                </w:rPr>
                <m:t>i</m:t>
              </m:r>
            </m:sub>
          </m:sSub>
          <m:r>
            <m:rPr>
              <m:sty m:val="p"/>
            </m:rPr>
            <w:rPr>
              <w:rFonts w:ascii="Cambria Math" w:eastAsia="CambriaMath" w:hAnsi="Cambria Math" w:cs="Times New Roman"/>
              <w:sz w:val="24"/>
              <w:szCs w:val="24"/>
            </w:rPr>
            <m:t>))</m:t>
          </m:r>
        </m:oMath>
      </m:oMathPara>
    </w:p>
    <w:p w14:paraId="1C9AEF1F" w14:textId="77777777" w:rsidR="007D0172" w:rsidRPr="007D0172" w:rsidRDefault="007D0172" w:rsidP="007D0172">
      <w:pPr>
        <w:spacing w:line="360" w:lineRule="auto"/>
        <w:jc w:val="center"/>
        <w:rPr>
          <w:rFonts w:ascii="Times New Roman" w:eastAsiaTheme="minorEastAsia" w:hAnsi="Times New Roman" w:cs="Times New Roman"/>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ij</m:t>
              </m:r>
            </m:sub>
          </m:sSub>
          <m:r>
            <w:rPr>
              <w:rFonts w:ascii="Cambria Math" w:hAnsi="Cambria Math" w:cs="Times New Roman"/>
              <w:sz w:val="24"/>
              <w:szCs w:val="24"/>
              <w:lang w:val="en-US"/>
            </w:rPr>
            <m:t>=</m:t>
          </m:r>
          <m:r>
            <m:rPr>
              <m:sty m:val="p"/>
            </m:rPr>
            <w:rPr>
              <w:rFonts w:ascii="Cambria Math" w:eastAsia="CambriaMath" w:hAnsi="Cambria Math" w:cs="Times New Roman"/>
              <w:sz w:val="24"/>
              <w:szCs w:val="24"/>
            </w:rPr>
            <m:t>Var</m:t>
          </m:r>
          <m:d>
            <m:dPr>
              <m:ctrlPr>
                <w:rPr>
                  <w:rFonts w:ascii="Cambria Math" w:eastAsia="CambriaMath" w:hAnsi="Cambria Math" w:cs="Times New Roman"/>
                  <w:sz w:val="24"/>
                  <w:szCs w:val="24"/>
                </w:rPr>
              </m:ctrlPr>
            </m:dPr>
            <m:e>
              <m:r>
                <m:rPr>
                  <m:sty m:val="p"/>
                </m:rPr>
                <w:rPr>
                  <w:rFonts w:ascii="Cambria Math" w:eastAsia="CambriaMath" w:hAnsi="Cambria Math" w:cs="Times New Roman"/>
                  <w:sz w:val="24"/>
                  <w:szCs w:val="24"/>
                </w:rPr>
                <m:t>E</m:t>
              </m:r>
              <m:d>
                <m:dPr>
                  <m:ctrlPr>
                    <w:rPr>
                      <w:rFonts w:ascii="Cambria Math" w:eastAsia="CambriaMath" w:hAnsi="Cambria Math" w:cs="Times New Roman"/>
                      <w:sz w:val="24"/>
                      <w:szCs w:val="24"/>
                    </w:rPr>
                  </m:ctrlPr>
                </m:dPr>
                <m:e>
                  <m:r>
                    <m:rPr>
                      <m:sty m:val="p"/>
                    </m:rPr>
                    <w:rPr>
                      <w:rFonts w:ascii="Cambria Math" w:eastAsia="CambriaMath" w:hAnsi="Cambria Math" w:cs="Times New Roman"/>
                      <w:sz w:val="24"/>
                      <w:szCs w:val="24"/>
                    </w:rPr>
                    <m:t>Y</m:t>
                  </m:r>
                </m:e>
                <m:e>
                  <m:sSub>
                    <m:sSubPr>
                      <m:ctrlPr>
                        <w:rPr>
                          <w:rFonts w:ascii="Cambria Math" w:eastAsia="CambriaMath" w:hAnsi="Cambria Math" w:cs="Times New Roman"/>
                          <w:sz w:val="24"/>
                          <w:szCs w:val="24"/>
                        </w:rPr>
                      </m:ctrlPr>
                    </m:sSubPr>
                    <m:e>
                      <m:r>
                        <w:rPr>
                          <w:rFonts w:ascii="Cambria Math" w:eastAsia="CambriaMath" w:hAnsi="Cambria Math" w:cs="Times New Roman"/>
                          <w:sz w:val="24"/>
                          <w:szCs w:val="24"/>
                        </w:rPr>
                        <m:t>x</m:t>
                      </m:r>
                    </m:e>
                    <m:sub>
                      <m:r>
                        <w:rPr>
                          <w:rFonts w:ascii="Cambria Math" w:eastAsia="CambriaMath" w:hAnsi="Cambria Math" w:cs="Times New Roman"/>
                          <w:sz w:val="24"/>
                          <w:szCs w:val="24"/>
                        </w:rPr>
                        <m:t>i</m:t>
                      </m:r>
                    </m:sub>
                  </m:sSub>
                  <m:r>
                    <m:rPr>
                      <m:sty m:val="p"/>
                    </m:rPr>
                    <w:rPr>
                      <w:rFonts w:ascii="Cambria Math" w:eastAsia="CambriaMath" w:hAnsi="Cambria Math" w:cs="Times New Roman"/>
                      <w:sz w:val="24"/>
                      <w:szCs w:val="24"/>
                    </w:rPr>
                    <m:t>,</m:t>
                  </m:r>
                  <m:sSub>
                    <m:sSubPr>
                      <m:ctrlPr>
                        <w:rPr>
                          <w:rFonts w:ascii="Cambria Math" w:eastAsia="CambriaMath" w:hAnsi="Cambria Math" w:cs="Times New Roman"/>
                          <w:sz w:val="24"/>
                          <w:szCs w:val="24"/>
                        </w:rPr>
                      </m:ctrlPr>
                    </m:sSubPr>
                    <m:e>
                      <m:r>
                        <w:rPr>
                          <w:rFonts w:ascii="Cambria Math" w:eastAsia="CambriaMath" w:hAnsi="Cambria Math" w:cs="Times New Roman"/>
                          <w:sz w:val="24"/>
                          <w:szCs w:val="24"/>
                        </w:rPr>
                        <m:t>x</m:t>
                      </m:r>
                    </m:e>
                    <m:sub>
                      <m:r>
                        <w:rPr>
                          <w:rFonts w:ascii="Cambria Math" w:eastAsia="CambriaMath" w:hAnsi="Cambria Math" w:cs="Times New Roman"/>
                          <w:sz w:val="24"/>
                          <w:szCs w:val="24"/>
                        </w:rPr>
                        <m:t>j</m:t>
                      </m:r>
                    </m:sub>
                  </m:sSub>
                </m:e>
              </m:d>
            </m:e>
          </m:d>
          <m:r>
            <m:rPr>
              <m:sty m:val="p"/>
            </m:rPr>
            <w:rPr>
              <w:rFonts w:ascii="Cambria Math" w:eastAsia="CambriaMath"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j</m:t>
              </m:r>
            </m:sub>
          </m:sSub>
        </m:oMath>
      </m:oMathPara>
    </w:p>
    <w:p w14:paraId="7ED4498F" w14:textId="77777777" w:rsidR="007D0172" w:rsidRPr="007D0172" w:rsidRDefault="007D0172" w:rsidP="007D0172">
      <w:pPr>
        <w:spacing w:line="360" w:lineRule="auto"/>
        <w:jc w:val="center"/>
        <w:rPr>
          <w:rFonts w:ascii="Times New Roman" w:eastAsiaTheme="minorEastAsia" w:hAnsi="Times New Roman" w:cs="Times New Roman"/>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ijk</m:t>
              </m:r>
            </m:sub>
          </m:sSub>
          <m:r>
            <w:rPr>
              <w:rFonts w:ascii="Cambria Math" w:hAnsi="Cambria Math" w:cs="Times New Roman"/>
              <w:sz w:val="24"/>
              <w:szCs w:val="24"/>
              <w:lang w:val="en-US"/>
            </w:rPr>
            <m:t>=</m:t>
          </m:r>
          <m:r>
            <m:rPr>
              <m:sty m:val="p"/>
            </m:rPr>
            <w:rPr>
              <w:rFonts w:ascii="Cambria Math" w:eastAsia="CambriaMath" w:hAnsi="Cambria Math" w:cs="Times New Roman"/>
              <w:sz w:val="24"/>
              <w:szCs w:val="24"/>
            </w:rPr>
            <m:t>Var</m:t>
          </m:r>
          <m:d>
            <m:dPr>
              <m:ctrlPr>
                <w:rPr>
                  <w:rFonts w:ascii="Cambria Math" w:eastAsia="CambriaMath" w:hAnsi="Cambria Math" w:cs="Times New Roman"/>
                  <w:sz w:val="24"/>
                  <w:szCs w:val="24"/>
                </w:rPr>
              </m:ctrlPr>
            </m:dPr>
            <m:e>
              <m:r>
                <m:rPr>
                  <m:sty m:val="p"/>
                </m:rPr>
                <w:rPr>
                  <w:rFonts w:ascii="Cambria Math" w:eastAsia="CambriaMath" w:hAnsi="Cambria Math" w:cs="Times New Roman"/>
                  <w:sz w:val="24"/>
                  <w:szCs w:val="24"/>
                </w:rPr>
                <m:t>E</m:t>
              </m:r>
              <m:d>
                <m:dPr>
                  <m:ctrlPr>
                    <w:rPr>
                      <w:rFonts w:ascii="Cambria Math" w:eastAsia="CambriaMath" w:hAnsi="Cambria Math" w:cs="Times New Roman"/>
                      <w:sz w:val="24"/>
                      <w:szCs w:val="24"/>
                    </w:rPr>
                  </m:ctrlPr>
                </m:dPr>
                <m:e>
                  <m:r>
                    <m:rPr>
                      <m:sty m:val="p"/>
                    </m:rPr>
                    <w:rPr>
                      <w:rFonts w:ascii="Cambria Math" w:eastAsia="CambriaMath" w:hAnsi="Cambria Math" w:cs="Times New Roman"/>
                      <w:sz w:val="24"/>
                      <w:szCs w:val="24"/>
                    </w:rPr>
                    <m:t>Y</m:t>
                  </m:r>
                </m:e>
                <m:e>
                  <m:sSub>
                    <m:sSubPr>
                      <m:ctrlPr>
                        <w:rPr>
                          <w:rFonts w:ascii="Cambria Math" w:eastAsia="CambriaMath" w:hAnsi="Cambria Math" w:cs="Times New Roman"/>
                          <w:sz w:val="24"/>
                          <w:szCs w:val="24"/>
                        </w:rPr>
                      </m:ctrlPr>
                    </m:sSubPr>
                    <m:e>
                      <m:r>
                        <w:rPr>
                          <w:rFonts w:ascii="Cambria Math" w:eastAsia="CambriaMath" w:hAnsi="Cambria Math" w:cs="Times New Roman"/>
                          <w:sz w:val="24"/>
                          <w:szCs w:val="24"/>
                        </w:rPr>
                        <m:t>x</m:t>
                      </m:r>
                    </m:e>
                    <m:sub>
                      <m:r>
                        <w:rPr>
                          <w:rFonts w:ascii="Cambria Math" w:eastAsia="CambriaMath" w:hAnsi="Cambria Math" w:cs="Times New Roman"/>
                          <w:sz w:val="24"/>
                          <w:szCs w:val="24"/>
                        </w:rPr>
                        <m:t>i</m:t>
                      </m:r>
                    </m:sub>
                  </m:sSub>
                  <m:r>
                    <m:rPr>
                      <m:sty m:val="p"/>
                    </m:rPr>
                    <w:rPr>
                      <w:rFonts w:ascii="Cambria Math" w:eastAsia="CambriaMath" w:hAnsi="Cambria Math" w:cs="Times New Roman"/>
                      <w:sz w:val="24"/>
                      <w:szCs w:val="24"/>
                    </w:rPr>
                    <m:t>,</m:t>
                  </m:r>
                  <m:sSub>
                    <m:sSubPr>
                      <m:ctrlPr>
                        <w:rPr>
                          <w:rFonts w:ascii="Cambria Math" w:eastAsia="CambriaMath" w:hAnsi="Cambria Math" w:cs="Times New Roman"/>
                          <w:sz w:val="24"/>
                          <w:szCs w:val="24"/>
                        </w:rPr>
                      </m:ctrlPr>
                    </m:sSubPr>
                    <m:e>
                      <m:r>
                        <w:rPr>
                          <w:rFonts w:ascii="Cambria Math" w:eastAsia="CambriaMath" w:hAnsi="Cambria Math" w:cs="Times New Roman"/>
                          <w:sz w:val="24"/>
                          <w:szCs w:val="24"/>
                        </w:rPr>
                        <m:t>x</m:t>
                      </m:r>
                    </m:e>
                    <m:sub>
                      <m:r>
                        <w:rPr>
                          <w:rFonts w:ascii="Cambria Math" w:eastAsia="CambriaMath" w:hAnsi="Cambria Math" w:cs="Times New Roman"/>
                          <w:sz w:val="24"/>
                          <w:szCs w:val="24"/>
                        </w:rPr>
                        <m:t>j</m:t>
                      </m:r>
                    </m:sub>
                  </m:sSub>
                  <m:r>
                    <w:rPr>
                      <w:rFonts w:ascii="Cambria Math" w:eastAsia="CambriaMath" w:hAnsi="Cambria Math" w:cs="Times New Roman"/>
                      <w:sz w:val="24"/>
                      <w:szCs w:val="24"/>
                    </w:rPr>
                    <m:t>,</m:t>
                  </m:r>
                  <m:sSub>
                    <m:sSubPr>
                      <m:ctrlPr>
                        <w:rPr>
                          <w:rFonts w:ascii="Cambria Math" w:eastAsia="CambriaMath" w:hAnsi="Cambria Math" w:cs="Times New Roman"/>
                          <w:sz w:val="24"/>
                          <w:szCs w:val="24"/>
                        </w:rPr>
                      </m:ctrlPr>
                    </m:sSubPr>
                    <m:e>
                      <m:r>
                        <w:rPr>
                          <w:rFonts w:ascii="Cambria Math" w:eastAsia="CambriaMath" w:hAnsi="Cambria Math" w:cs="Times New Roman"/>
                          <w:sz w:val="24"/>
                          <w:szCs w:val="24"/>
                        </w:rPr>
                        <m:t>x</m:t>
                      </m:r>
                    </m:e>
                    <m:sub>
                      <m:r>
                        <w:rPr>
                          <w:rFonts w:ascii="Cambria Math" w:eastAsia="CambriaMath" w:hAnsi="Cambria Math" w:cs="Times New Roman"/>
                          <w:sz w:val="24"/>
                          <w:szCs w:val="24"/>
                        </w:rPr>
                        <m:t>k</m:t>
                      </m:r>
                    </m:sub>
                  </m:sSub>
                </m:e>
              </m:d>
            </m:e>
          </m:d>
          <m:r>
            <m:rPr>
              <m:sty m:val="p"/>
            </m:rPr>
            <w:rPr>
              <w:rFonts w:ascii="Cambria Math" w:eastAsia="CambriaMath"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j</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k</m:t>
              </m:r>
            </m:sub>
          </m:sSub>
        </m:oMath>
      </m:oMathPara>
    </w:p>
    <w:p w14:paraId="3116E6DD" w14:textId="77777777" w:rsidR="007D0172" w:rsidRPr="007D0172" w:rsidRDefault="007D0172" w:rsidP="007D0172">
      <w:pPr>
        <w:spacing w:line="360" w:lineRule="auto"/>
        <w:rPr>
          <w:rFonts w:ascii="Times New Roman" w:eastAsiaTheme="minorEastAsia" w:hAnsi="Times New Roman" w:cs="Times New Roman"/>
          <w:sz w:val="24"/>
          <w:szCs w:val="24"/>
          <w:lang w:val="en-US"/>
        </w:rPr>
      </w:pPr>
      <w:r w:rsidRPr="007D0172">
        <w:rPr>
          <w:rFonts w:ascii="Times New Roman" w:eastAsiaTheme="minorEastAsia" w:hAnsi="Times New Roman" w:cs="Times New Roman"/>
          <w:sz w:val="24"/>
          <w:szCs w:val="24"/>
          <w:lang w:val="en-US"/>
        </w:rPr>
        <w:t xml:space="preserve">with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 xml:space="preserve">, …, </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n</m:t>
            </m:r>
          </m:sub>
        </m:sSub>
      </m:oMath>
      <w:r w:rsidRPr="007D0172">
        <w:rPr>
          <w:rFonts w:ascii="Times New Roman" w:eastAsiaTheme="minorEastAsia" w:hAnsi="Times New Roman" w:cs="Times New Roman"/>
          <w:sz w:val="24"/>
          <w:szCs w:val="24"/>
          <w:lang w:val="en-US"/>
        </w:rPr>
        <w:t>, represent the model input parameters. Based on the output variance decomposition above, the first order sensitivity index is calculated as:</w:t>
      </w:r>
    </w:p>
    <w:p w14:paraId="56A38620" w14:textId="77777777" w:rsidR="007D0172" w:rsidRPr="007D0172" w:rsidRDefault="007D0172" w:rsidP="007D0172">
      <w:pPr>
        <w:spacing w:line="360" w:lineRule="auto"/>
        <w:rPr>
          <w:rFonts w:ascii="Times New Roman" w:eastAsiaTheme="minorEastAsia" w:hAnsi="Times New Roman" w:cs="Times New Roman"/>
          <w:sz w:val="24"/>
          <w:szCs w:val="24"/>
          <w:lang w:val="en-US"/>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S</m:t>
              </m:r>
            </m:e>
            <m:sub>
              <m:r>
                <w:rPr>
                  <w:rFonts w:ascii="Cambria Math" w:eastAsiaTheme="minorEastAsia" w:hAnsi="Cambria Math" w:cs="Times New Roman"/>
                  <w:sz w:val="24"/>
                  <w:szCs w:val="24"/>
                  <w:lang w:val="en-US"/>
                </w:rPr>
                <m:t>i</m:t>
              </m:r>
            </m:sub>
          </m:sSub>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i</m:t>
                  </m:r>
                </m:sub>
              </m:sSub>
            </m:num>
            <m:den>
              <m:r>
                <w:rPr>
                  <w:rFonts w:ascii="Cambria Math" w:hAnsi="Cambria Math" w:cs="Times New Roman"/>
                  <w:sz w:val="24"/>
                  <w:szCs w:val="24"/>
                  <w:lang w:val="en-US"/>
                </w:rPr>
                <m:t>V</m:t>
              </m:r>
              <m:d>
                <m:dPr>
                  <m:ctrlPr>
                    <w:rPr>
                      <w:rFonts w:ascii="Cambria Math" w:hAnsi="Cambria Math" w:cs="Times New Roman"/>
                      <w:i/>
                      <w:sz w:val="24"/>
                      <w:szCs w:val="24"/>
                      <w:lang w:val="en-US"/>
                    </w:rPr>
                  </m:ctrlPr>
                </m:dPr>
                <m:e>
                  <m:r>
                    <w:rPr>
                      <w:rFonts w:ascii="Cambria Math" w:hAnsi="Cambria Math" w:cs="Times New Roman"/>
                      <w:sz w:val="24"/>
                      <w:szCs w:val="24"/>
                      <w:lang w:val="en-US"/>
                    </w:rPr>
                    <m:t>Y</m:t>
                  </m:r>
                </m:e>
              </m:d>
            </m:den>
          </m:f>
        </m:oMath>
      </m:oMathPara>
    </w:p>
    <w:p w14:paraId="5A5D4B4C" w14:textId="3E32EBE7" w:rsidR="007D0172" w:rsidRPr="007D0172" w:rsidRDefault="007D0172" w:rsidP="007D0172">
      <w:pPr>
        <w:spacing w:line="360" w:lineRule="auto"/>
        <w:rPr>
          <w:rFonts w:ascii="Times New Roman" w:eastAsiaTheme="minorEastAsia" w:hAnsi="Times New Roman" w:cs="Times New Roman"/>
          <w:sz w:val="24"/>
          <w:szCs w:val="24"/>
          <w:lang w:val="en-US"/>
        </w:rPr>
      </w:pPr>
      <w:r w:rsidRPr="007D0172">
        <w:rPr>
          <w:rFonts w:ascii="Times New Roman" w:eastAsiaTheme="minorEastAsia" w:hAnsi="Times New Roman" w:cs="Times New Roman"/>
          <w:sz w:val="24"/>
          <w:szCs w:val="24"/>
          <w:lang w:val="en-US"/>
        </w:rPr>
        <w:t xml:space="preserve">which corresponds to the proportion of output variance assigned to the main effect of </w:t>
      </w:r>
      <w:r w:rsidRPr="007D0172">
        <w:rPr>
          <w:rFonts w:ascii="Times New Roman" w:eastAsiaTheme="minorEastAsia" w:hAnsi="Times New Roman" w:cs="Times New Roman"/>
          <w:i/>
          <w:iCs/>
          <w:sz w:val="24"/>
          <w:szCs w:val="24"/>
          <w:lang w:val="en-US"/>
        </w:rPr>
        <w:t>Xi</w:t>
      </w:r>
      <w:r w:rsidRPr="007D0172">
        <w:rPr>
          <w:rFonts w:ascii="Times New Roman" w:eastAsiaTheme="minorEastAsia" w:hAnsi="Times New Roman" w:cs="Times New Roman"/>
          <w:sz w:val="24"/>
          <w:szCs w:val="24"/>
          <w:lang w:val="en-US"/>
        </w:rPr>
        <w:t xml:space="preserve">, i.e., not taking into account its interactions with other model inputs </w:t>
      </w:r>
      <w:r w:rsidRPr="007D0172">
        <w:rPr>
          <w:rFonts w:ascii="Times New Roman" w:eastAsiaTheme="minorEastAsia" w:hAnsi="Times New Roman" w:cs="Times New Roman"/>
          <w:sz w:val="24"/>
          <w:szCs w:val="24"/>
          <w:lang w:val="en-US"/>
        </w:rPr>
        <w:fldChar w:fldCharType="begin"/>
      </w:r>
      <w:r w:rsidR="00585215">
        <w:rPr>
          <w:rFonts w:ascii="Times New Roman" w:eastAsiaTheme="minorEastAsia" w:hAnsi="Times New Roman" w:cs="Times New Roman"/>
          <w:sz w:val="24"/>
          <w:szCs w:val="24"/>
          <w:lang w:val="en-US"/>
        </w:rPr>
        <w:instrText xml:space="preserve"> ADDIN ZOTERO_ITEM CSL_CITATION {"citationID":"H1hdJK0e","properties":{"formattedCitation":"[10,16]","plainCitation":"[10,16]","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label":"page"},{"id":6272,"uris":["http://zotero.org/users/13629295/items/KCRNZANQ"],"itemData":{"id":6272,"type":"webpage","abstract":"Sobol, I.M. (1993) Sensitivity Estimates for Nonlinear Mathematical Models. Mathematical Modelling and Computational Experiments, 4, 407-414.","title":"Sobol, I.M. (1993) Sensitivity Estimates for Nonlinear Mathematical Models. Mathematical Modelling and Computational Experiments, 4, 407-414. - References - Scientific Research Publishing","URL":"https://www.scirp.org/reference/referencespapers?referenceid=2692473","accessed":{"date-parts":[["2024",7,10]]}},"label":"page"}],"schema":"https://github.com/citation-style-language/schema/raw/master/csl-citation.json"} </w:instrText>
      </w:r>
      <w:r w:rsidRPr="007D0172">
        <w:rPr>
          <w:rFonts w:ascii="Times New Roman" w:eastAsiaTheme="minorEastAsia" w:hAnsi="Times New Roman" w:cs="Times New Roman"/>
          <w:sz w:val="24"/>
          <w:szCs w:val="24"/>
          <w:lang w:val="en-US"/>
        </w:rPr>
        <w:fldChar w:fldCharType="separate"/>
      </w:r>
      <w:r w:rsidR="00585215" w:rsidRPr="00585215">
        <w:rPr>
          <w:rFonts w:ascii="Times New Roman" w:hAnsi="Times New Roman" w:cs="Times New Roman"/>
          <w:sz w:val="24"/>
          <w:lang w:val="en-US"/>
        </w:rPr>
        <w:t>[10,16]</w:t>
      </w:r>
      <w:r w:rsidRPr="007D0172">
        <w:rPr>
          <w:rFonts w:ascii="Times New Roman" w:eastAsiaTheme="minorEastAsia" w:hAnsi="Times New Roman" w:cs="Times New Roman"/>
          <w:sz w:val="24"/>
          <w:szCs w:val="24"/>
          <w:lang w:val="en-US"/>
        </w:rPr>
        <w:fldChar w:fldCharType="end"/>
      </w:r>
      <w:r w:rsidRPr="007D0172">
        <w:rPr>
          <w:rFonts w:ascii="Times New Roman" w:eastAsiaTheme="minorEastAsia" w:hAnsi="Times New Roman" w:cs="Times New Roman"/>
          <w:sz w:val="24"/>
          <w:szCs w:val="24"/>
          <w:lang w:val="en-US"/>
        </w:rPr>
        <w:t>. To estimate indices that account for the contribution of each model input, as well as the variance of its interactions with other inputs to the variability of the model output, the total effect sensitivity index is used:</w:t>
      </w:r>
    </w:p>
    <w:p w14:paraId="481E7C00" w14:textId="77777777" w:rsidR="007D0172" w:rsidRPr="007D0172" w:rsidRDefault="007D0172" w:rsidP="007D0172">
      <w:pPr>
        <w:spacing w:line="360" w:lineRule="auto"/>
        <w:rPr>
          <w:rFonts w:ascii="Times New Roman" w:eastAsiaTheme="minorEastAsia" w:hAnsi="Times New Roman" w:cs="Times New Roman"/>
          <w:sz w:val="24"/>
          <w:szCs w:val="24"/>
          <w:lang w:val="en-US"/>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T</m:t>
              </m:r>
            </m:e>
            <m:sub>
              <m:r>
                <w:rPr>
                  <w:rFonts w:ascii="Cambria Math" w:eastAsiaTheme="minorEastAsia" w:hAnsi="Cambria Math" w:cs="Times New Roman"/>
                  <w:sz w:val="24"/>
                  <w:szCs w:val="24"/>
                  <w:lang w:val="en-US"/>
                </w:rPr>
                <m:t>i</m:t>
              </m:r>
            </m:sub>
          </m:sSub>
          <m:r>
            <w:rPr>
              <w:rFonts w:ascii="Cambria Math" w:eastAsiaTheme="minorEastAsia" w:hAnsi="Cambria Math" w:cs="Times New Roman"/>
              <w:sz w:val="24"/>
              <w:szCs w:val="24"/>
              <w:lang w:val="en-US"/>
            </w:rPr>
            <m:t>=1-</m:t>
          </m:r>
          <m:f>
            <m:fPr>
              <m:ctrlPr>
                <w:rPr>
                  <w:rFonts w:ascii="Cambria Math" w:eastAsiaTheme="minorEastAsia" w:hAnsi="Cambria Math" w:cs="Times New Roman"/>
                  <w:i/>
                  <w:sz w:val="24"/>
                  <w:szCs w:val="24"/>
                  <w:lang w:val="en-US"/>
                </w:rPr>
              </m:ctrlPr>
            </m:fPr>
            <m:num>
              <m:r>
                <m:rPr>
                  <m:sty m:val="p"/>
                </m:rPr>
                <w:rPr>
                  <w:rFonts w:ascii="Cambria Math" w:eastAsia="CambriaMath" w:hAnsi="Cambria Math" w:cs="Times New Roman"/>
                  <w:sz w:val="24"/>
                  <w:szCs w:val="24"/>
                  <w:lang w:val="en-US"/>
                </w:rPr>
                <m:t>Var(E(Y|</m:t>
              </m:r>
              <m:sSub>
                <m:sSubPr>
                  <m:ctrlPr>
                    <w:rPr>
                      <w:rFonts w:ascii="Cambria Math" w:eastAsia="CambriaMath" w:hAnsi="Cambria Math" w:cs="Times New Roman"/>
                      <w:sz w:val="24"/>
                      <w:szCs w:val="24"/>
                    </w:rPr>
                  </m:ctrlPr>
                </m:sSubPr>
                <m:e>
                  <m:r>
                    <w:rPr>
                      <w:rFonts w:ascii="Cambria Math" w:eastAsia="CambriaMath" w:hAnsi="Cambria Math" w:cs="Times New Roman"/>
                      <w:sz w:val="24"/>
                      <w:szCs w:val="24"/>
                    </w:rPr>
                    <m:t>x</m:t>
                  </m:r>
                </m:e>
                <m:sub>
                  <m:r>
                    <w:rPr>
                      <w:rFonts w:ascii="Cambria Math" w:eastAsia="CambriaMath" w:hAnsi="Cambria Math" w:cs="Times New Roman"/>
                      <w:sz w:val="24"/>
                      <w:szCs w:val="24"/>
                      <w:lang w:val="en-US"/>
                    </w:rPr>
                    <m:t>~</m:t>
                  </m:r>
                  <m:r>
                    <w:rPr>
                      <w:rFonts w:ascii="Cambria Math" w:eastAsia="CambriaMath" w:hAnsi="Cambria Math" w:cs="Times New Roman"/>
                      <w:sz w:val="24"/>
                      <w:szCs w:val="24"/>
                    </w:rPr>
                    <m:t>i</m:t>
                  </m:r>
                </m:sub>
              </m:sSub>
              <m:r>
                <m:rPr>
                  <m:sty m:val="p"/>
                </m:rPr>
                <w:rPr>
                  <w:rFonts w:ascii="Cambria Math" w:eastAsia="CambriaMath" w:hAnsi="Cambria Math" w:cs="Times New Roman"/>
                  <w:sz w:val="24"/>
                  <w:szCs w:val="24"/>
                  <w:lang w:val="en-US"/>
                </w:rPr>
                <m:t>))</m:t>
              </m:r>
            </m:num>
            <m:den>
              <m:r>
                <w:rPr>
                  <w:rFonts w:ascii="Cambria Math" w:hAnsi="Cambria Math" w:cs="Times New Roman"/>
                  <w:sz w:val="24"/>
                  <w:szCs w:val="24"/>
                  <w:lang w:val="en-US"/>
                </w:rPr>
                <m:t>V</m:t>
              </m:r>
              <m:d>
                <m:dPr>
                  <m:ctrlPr>
                    <w:rPr>
                      <w:rFonts w:ascii="Cambria Math" w:hAnsi="Cambria Math" w:cs="Times New Roman"/>
                      <w:i/>
                      <w:sz w:val="24"/>
                      <w:szCs w:val="24"/>
                      <w:lang w:val="en-US"/>
                    </w:rPr>
                  </m:ctrlPr>
                </m:dPr>
                <m:e>
                  <m:r>
                    <w:rPr>
                      <w:rFonts w:ascii="Cambria Math" w:hAnsi="Cambria Math" w:cs="Times New Roman"/>
                      <w:sz w:val="24"/>
                      <w:szCs w:val="24"/>
                      <w:lang w:val="en-US"/>
                    </w:rPr>
                    <m:t>Y</m:t>
                  </m:r>
                </m:e>
              </m:d>
            </m:den>
          </m:f>
        </m:oMath>
      </m:oMathPara>
    </w:p>
    <w:p w14:paraId="5487DA39" w14:textId="5A096463" w:rsidR="007D0172" w:rsidRPr="007D0172" w:rsidRDefault="007D0172" w:rsidP="007D0172">
      <w:pPr>
        <w:spacing w:line="360" w:lineRule="auto"/>
        <w:rPr>
          <w:rFonts w:ascii="Times New Roman" w:eastAsiaTheme="minorEastAsia" w:hAnsi="Times New Roman" w:cs="Times New Roman"/>
          <w:sz w:val="24"/>
          <w:szCs w:val="24"/>
          <w:lang w:val="en-US"/>
        </w:rPr>
      </w:pPr>
      <w:r w:rsidRPr="007D0172">
        <w:rPr>
          <w:rFonts w:ascii="Times New Roman" w:eastAsiaTheme="minorEastAsia" w:hAnsi="Times New Roman" w:cs="Times New Roman"/>
          <w:sz w:val="24"/>
          <w:szCs w:val="24"/>
          <w:lang w:val="en-US"/>
        </w:rPr>
        <w:t xml:space="preserve">where </w:t>
      </w:r>
      <m:oMath>
        <m:r>
          <w:rPr>
            <w:rFonts w:ascii="Cambria Math" w:eastAsia="CambriaMath" w:hAnsi="Cambria Math" w:cs="Times New Roman"/>
            <w:sz w:val="24"/>
            <w:szCs w:val="24"/>
            <w:lang w:val="en-US"/>
          </w:rPr>
          <m:t>~</m:t>
        </m:r>
        <m:r>
          <w:rPr>
            <w:rFonts w:ascii="Cambria Math" w:eastAsia="CambriaMath" w:hAnsi="Cambria Math" w:cs="Times New Roman"/>
            <w:sz w:val="24"/>
            <w:szCs w:val="24"/>
          </w:rPr>
          <m:t>i</m:t>
        </m:r>
      </m:oMath>
      <w:r w:rsidRPr="007D0172">
        <w:rPr>
          <w:rFonts w:ascii="Times New Roman" w:eastAsiaTheme="minorEastAsia" w:hAnsi="Times New Roman" w:cs="Times New Roman"/>
          <w:i/>
          <w:iCs/>
          <w:sz w:val="24"/>
          <w:szCs w:val="24"/>
          <w:lang w:val="en-US"/>
        </w:rPr>
        <w:t xml:space="preserve"> </w:t>
      </w:r>
      <w:r w:rsidRPr="007D0172">
        <w:rPr>
          <w:rFonts w:ascii="Times New Roman" w:eastAsiaTheme="minorEastAsia" w:hAnsi="Times New Roman" w:cs="Times New Roman"/>
          <w:sz w:val="24"/>
          <w:szCs w:val="24"/>
          <w:lang w:val="en-US"/>
        </w:rPr>
        <w:t xml:space="preserve">represents all indices except </w:t>
      </w:r>
      <m:oMath>
        <m:r>
          <w:rPr>
            <w:rFonts w:ascii="Cambria Math" w:eastAsia="CambriaMath" w:hAnsi="Cambria Math" w:cs="Times New Roman"/>
            <w:sz w:val="24"/>
            <w:szCs w:val="24"/>
          </w:rPr>
          <m:t>i</m:t>
        </m:r>
      </m:oMath>
      <w:r w:rsidRPr="007D0172">
        <w:rPr>
          <w:rFonts w:ascii="Times New Roman" w:eastAsiaTheme="minorEastAsia" w:hAnsi="Times New Roman" w:cs="Times New Roman"/>
          <w:sz w:val="24"/>
          <w:szCs w:val="24"/>
          <w:lang w:val="en-US"/>
        </w:rPr>
        <w:t xml:space="preserve"> </w:t>
      </w:r>
      <w:r w:rsidRPr="007D0172">
        <w:rPr>
          <w:rFonts w:ascii="Times New Roman" w:eastAsiaTheme="minorEastAsia" w:hAnsi="Times New Roman" w:cs="Times New Roman"/>
          <w:sz w:val="24"/>
          <w:szCs w:val="24"/>
          <w:lang w:val="en-US"/>
        </w:rPr>
        <w:fldChar w:fldCharType="begin"/>
      </w:r>
      <w:r w:rsidR="00585215">
        <w:rPr>
          <w:rFonts w:ascii="Times New Roman" w:eastAsiaTheme="minorEastAsia" w:hAnsi="Times New Roman" w:cs="Times New Roman"/>
          <w:sz w:val="24"/>
          <w:szCs w:val="24"/>
          <w:lang w:val="en-US"/>
        </w:rPr>
        <w:instrText xml:space="preserve"> ADDIN ZOTERO_ITEM CSL_CITATION {"citationID":"SctKPfHO","properties":{"formattedCitation":"[10,16]","plainCitation":"[10,16]","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label":"page"},{"id":6272,"uris":["http://zotero.org/users/13629295/items/KCRNZANQ"],"itemData":{"id":6272,"type":"webpage","abstract":"Sobol, I.M. (1993) Sensitivity Estimates for Nonlinear Mathematical Models. Mathematical Modelling and Computational Experiments, 4, 407-414.","title":"Sobol, I.M. (1993) Sensitivity Estimates for Nonlinear Mathematical Models. Mathematical Modelling and Computational Experiments, 4, 407-414. - References - Scientific Research Publishing","URL":"https://www.scirp.org/reference/referencespapers?referenceid=2692473","accessed":{"date-parts":[["2024",7,10]]}},"label":"page"}],"schema":"https://github.com/citation-style-language/schema/raw/master/csl-citation.json"} </w:instrText>
      </w:r>
      <w:r w:rsidRPr="007D0172">
        <w:rPr>
          <w:rFonts w:ascii="Times New Roman" w:eastAsiaTheme="minorEastAsia" w:hAnsi="Times New Roman" w:cs="Times New Roman"/>
          <w:sz w:val="24"/>
          <w:szCs w:val="24"/>
          <w:lang w:val="en-US"/>
        </w:rPr>
        <w:fldChar w:fldCharType="separate"/>
      </w:r>
      <w:r w:rsidR="00585215" w:rsidRPr="00585215">
        <w:rPr>
          <w:rFonts w:ascii="Times New Roman" w:hAnsi="Times New Roman" w:cs="Times New Roman"/>
          <w:sz w:val="24"/>
          <w:lang w:val="en-US"/>
        </w:rPr>
        <w:t>[10,16]</w:t>
      </w:r>
      <w:r w:rsidRPr="007D0172">
        <w:rPr>
          <w:rFonts w:ascii="Times New Roman" w:eastAsiaTheme="minorEastAsia" w:hAnsi="Times New Roman" w:cs="Times New Roman"/>
          <w:sz w:val="24"/>
          <w:szCs w:val="24"/>
          <w:lang w:val="en-US"/>
        </w:rPr>
        <w:fldChar w:fldCharType="end"/>
      </w:r>
      <w:r w:rsidRPr="007D0172">
        <w:rPr>
          <w:rFonts w:ascii="Times New Roman" w:eastAsiaTheme="minorEastAsia" w:hAnsi="Times New Roman" w:cs="Times New Roman"/>
          <w:sz w:val="24"/>
          <w:szCs w:val="24"/>
          <w:lang w:val="en-US"/>
        </w:rPr>
        <w:t>.</w:t>
      </w:r>
      <w:r w:rsidRPr="007D0172">
        <w:rPr>
          <w:rFonts w:ascii="Times New Roman" w:eastAsiaTheme="minorEastAsia" w:hAnsi="Times New Roman" w:cs="Times New Roman"/>
          <w:i/>
          <w:iCs/>
          <w:sz w:val="24"/>
          <w:szCs w:val="24"/>
          <w:lang w:val="en-US"/>
        </w:rPr>
        <w:t xml:space="preserve"> </w:t>
      </w:r>
      <w:r w:rsidRPr="007D0172">
        <w:rPr>
          <w:rFonts w:ascii="Times New Roman" w:eastAsiaTheme="minorEastAsia" w:hAnsi="Times New Roman" w:cs="Times New Roman"/>
          <w:iCs/>
          <w:sz w:val="24"/>
          <w:szCs w:val="24"/>
          <w:lang w:val="en-US"/>
        </w:rPr>
        <w:t>The</w:t>
      </w:r>
      <w:r w:rsidRPr="007D0172">
        <w:rPr>
          <w:rFonts w:ascii="Times New Roman" w:eastAsiaTheme="minorEastAsia" w:hAnsi="Times New Roman" w:cs="Times New Roman"/>
          <w:sz w:val="24"/>
          <w:szCs w:val="24"/>
          <w:lang w:val="en-US"/>
        </w:rPr>
        <w:t xml:space="preserve"> following properties can be deduced, following the above decomposition of model output variance:</w:t>
      </w:r>
    </w:p>
    <w:p w14:paraId="7ACBAED2" w14:textId="77777777" w:rsidR="007D0172" w:rsidRPr="007D0172" w:rsidRDefault="007D0172" w:rsidP="007D0172">
      <w:pPr>
        <w:spacing w:line="360" w:lineRule="auto"/>
        <w:jc w:val="center"/>
        <w:rPr>
          <w:rFonts w:ascii="Times New Roman" w:eastAsiaTheme="minorEastAsia" w:hAnsi="Times New Roman" w:cs="Times New Roman"/>
          <w:sz w:val="24"/>
          <w:szCs w:val="24"/>
          <w:lang w:val="en-US"/>
        </w:rPr>
      </w:pPr>
      <m:oMathPara>
        <m:oMath>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i</m:t>
              </m:r>
            </m:sub>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i</m:t>
                  </m:r>
                </m:sub>
              </m:sSub>
            </m:e>
          </m:nary>
          <m:r>
            <w:rPr>
              <w:rFonts w:ascii="Cambria Math" w:hAnsi="Cambria Math" w:cs="Times New Roman"/>
              <w:sz w:val="24"/>
              <w:szCs w:val="24"/>
              <w:lang w:val="en-US"/>
            </w:rPr>
            <m:t>+</m:t>
          </m:r>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i</m:t>
              </m:r>
            </m:sub>
            <m:sup/>
            <m:e>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j&gt;i</m:t>
                  </m:r>
                </m:sub>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ij</m:t>
                      </m:r>
                    </m:sub>
                  </m:sSub>
                </m:e>
              </m:nary>
            </m:e>
          </m:nary>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12…d</m:t>
              </m:r>
            </m:sub>
          </m:sSub>
          <m:r>
            <w:rPr>
              <w:rFonts w:ascii="Cambria Math" w:hAnsi="Cambria Math" w:cs="Times New Roman"/>
              <w:sz w:val="24"/>
              <w:szCs w:val="24"/>
              <w:lang w:val="en-US"/>
            </w:rPr>
            <m:t>=1</m:t>
          </m:r>
        </m:oMath>
      </m:oMathPara>
    </w:p>
    <w:p w14:paraId="72FEA0A0" w14:textId="77777777" w:rsidR="007D0172" w:rsidRPr="007D0172" w:rsidRDefault="007D0172" w:rsidP="007D0172">
      <w:pPr>
        <w:spacing w:line="360" w:lineRule="auto"/>
        <w:jc w:val="center"/>
        <w:rPr>
          <w:rFonts w:ascii="Times New Roman" w:eastAsiaTheme="minorEastAsia" w:hAnsi="Times New Roman" w:cs="Times New Roman"/>
          <w:sz w:val="24"/>
          <w:szCs w:val="24"/>
          <w:lang w:val="en-US"/>
        </w:rPr>
      </w:pPr>
      <m:oMathPara>
        <m:oMath>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i</m:t>
              </m:r>
            </m:sub>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i</m:t>
                  </m:r>
                </m:sub>
              </m:sSub>
            </m:e>
          </m:nary>
          <m:r>
            <w:rPr>
              <w:rFonts w:ascii="Cambria Math" w:hAnsi="Cambria Math" w:cs="Times New Roman"/>
              <w:sz w:val="24"/>
              <w:szCs w:val="24"/>
              <w:lang w:val="en-US"/>
            </w:rPr>
            <m:t>≥1</m:t>
          </m:r>
        </m:oMath>
      </m:oMathPara>
    </w:p>
    <w:p w14:paraId="2D652186" w14:textId="28E574A7" w:rsidR="007D0172" w:rsidRPr="007D0172" w:rsidRDefault="007D0172" w:rsidP="007D0172">
      <w:pPr>
        <w:spacing w:line="360" w:lineRule="auto"/>
        <w:rPr>
          <w:rFonts w:ascii="Times New Roman" w:hAnsi="Times New Roman" w:cs="Times New Roman"/>
          <w:sz w:val="24"/>
          <w:szCs w:val="24"/>
          <w:lang w:val="en-US"/>
        </w:rPr>
      </w:pPr>
      <w:r w:rsidRPr="007D0172">
        <w:rPr>
          <w:rFonts w:ascii="Times New Roman" w:hAnsi="Times New Roman" w:cs="Times New Roman"/>
          <w:sz w:val="24"/>
          <w:szCs w:val="24"/>
          <w:lang w:val="en-US"/>
        </w:rPr>
        <w:t xml:space="preserve">A global sensitivity analysis of intervention coverage, the half-life of parameters, and geographic-specific parameters such as vector composition towards health outcomes such as incidence reduction (i.e., NSP endpoint of 2026 vs 2023 as reference), was performed. This helped us to identify the key drivers of impact for malaria interventions across different districts of Ghana. In particular, we were interested in parameters that are related to implementation and sampling strategies by the NMEP (Table 1). To compute the sensitivity indices, the function </w:t>
      </w:r>
      <w:r w:rsidRPr="007D0172">
        <w:rPr>
          <w:rFonts w:ascii="Times New Roman" w:hAnsi="Times New Roman" w:cs="Times New Roman"/>
          <w:i/>
          <w:iCs/>
          <w:sz w:val="24"/>
          <w:szCs w:val="24"/>
          <w:lang w:val="en-US"/>
        </w:rPr>
        <w:t xml:space="preserve">soboljansen </w:t>
      </w:r>
      <w:r w:rsidRPr="007D0172">
        <w:rPr>
          <w:rFonts w:ascii="Times New Roman" w:hAnsi="Times New Roman" w:cs="Times New Roman"/>
          <w:sz w:val="24"/>
          <w:szCs w:val="24"/>
          <w:lang w:val="en-US"/>
        </w:rPr>
        <w:t xml:space="preserve">from the R package </w:t>
      </w:r>
      <w:r w:rsidRPr="007D0172">
        <w:rPr>
          <w:rFonts w:ascii="Times New Roman" w:hAnsi="Times New Roman" w:cs="Times New Roman"/>
          <w:i/>
          <w:iCs/>
          <w:sz w:val="24"/>
          <w:szCs w:val="24"/>
          <w:lang w:val="en-US"/>
        </w:rPr>
        <w:t xml:space="preserve">sensitivity </w:t>
      </w:r>
      <w:r w:rsidRPr="007D0172">
        <w:rPr>
          <w:rFonts w:ascii="Times New Roman" w:hAnsi="Times New Roman" w:cs="Times New Roman"/>
          <w:i/>
          <w:iCs/>
          <w:sz w:val="24"/>
          <w:szCs w:val="24"/>
          <w:lang w:val="en-US"/>
        </w:rPr>
        <w:fldChar w:fldCharType="begin"/>
      </w:r>
      <w:r w:rsidR="00585215">
        <w:rPr>
          <w:rFonts w:ascii="Times New Roman" w:hAnsi="Times New Roman" w:cs="Times New Roman"/>
          <w:i/>
          <w:iCs/>
          <w:sz w:val="24"/>
          <w:szCs w:val="24"/>
          <w:lang w:val="en-US"/>
        </w:rPr>
        <w:instrText xml:space="preserve"> ADDIN ZOTERO_ITEM CSL_CITATION {"citationID":"eYdJ5Z5i","properties":{"formattedCitation":"[17]","plainCitation":"[17]","noteIndex":0},"citationItems":[{"id":6316,"uris":["http://zotero.org/users/13629295/items/EQM5Y6IR"],"itemData":{"id":6316,"type":"software","abstract":"A collection of functions for sensitivity analysis of model outputs (factor screening, global sensitivity analysis and robustness analysis), for variable importance measures of data, as well as for interpretability of machine learning models. Most of the functions have to be applied on scalar output, but several functions support multi-dimensional outputs.","license":"GPL-2","source":"R-Packages","title":"sensitivity: Global Sensitivity Analysis of Model Outputs and Importance Measures","title-short":"sensitivity","URL":"https://cran.r-project.org/web/packages/sensitivity/index.html","version":"1.30.1","author":[{"family":"Iooss","given":"Bertrand"},{"family":"Veiga","given":"Sebastien Da"},{"family":"Janon","given":"Alexandre"},{"family":"Pujol","given":"Gilles"}],"accessed":{"date-parts":[["2025",5,5]]},"issued":{"date-parts":[["2024",8,28]]}}}],"schema":"https://github.com/citation-style-language/schema/raw/master/csl-citation.json"} </w:instrText>
      </w:r>
      <w:r w:rsidRPr="007D0172">
        <w:rPr>
          <w:rFonts w:ascii="Times New Roman" w:hAnsi="Times New Roman" w:cs="Times New Roman"/>
          <w:i/>
          <w:iCs/>
          <w:sz w:val="24"/>
          <w:szCs w:val="24"/>
          <w:lang w:val="en-US"/>
        </w:rPr>
        <w:fldChar w:fldCharType="separate"/>
      </w:r>
      <w:r w:rsidR="00585215" w:rsidRPr="00585215">
        <w:rPr>
          <w:rFonts w:ascii="Times New Roman" w:hAnsi="Times New Roman" w:cs="Times New Roman"/>
          <w:sz w:val="24"/>
          <w:lang w:val="en-US"/>
        </w:rPr>
        <w:t>[17]</w:t>
      </w:r>
      <w:r w:rsidRPr="007D0172">
        <w:rPr>
          <w:rFonts w:ascii="Times New Roman" w:hAnsi="Times New Roman" w:cs="Times New Roman"/>
          <w:i/>
          <w:iCs/>
          <w:sz w:val="24"/>
          <w:szCs w:val="24"/>
          <w:lang w:val="en-US"/>
        </w:rPr>
        <w:fldChar w:fldCharType="end"/>
      </w:r>
      <w:r w:rsidRPr="007D0172">
        <w:rPr>
          <w:rFonts w:ascii="Times New Roman" w:hAnsi="Times New Roman" w:cs="Times New Roman"/>
          <w:sz w:val="24"/>
          <w:szCs w:val="24"/>
          <w:lang w:val="en-US"/>
        </w:rPr>
        <w:t xml:space="preserve"> was used. The function estimates the sensitivity indices using a Monte Carlo approximation for computing conditional expectations. Latin Hypercube Sampling (LHS) was used to sample the input space efficiently, and 200,000 points were sampled to estimate the Sobol indices. </w:t>
      </w:r>
    </w:p>
    <w:p w14:paraId="1BC3CDDA" w14:textId="77777777" w:rsidR="007D0172" w:rsidRPr="007D0172" w:rsidRDefault="007D0172" w:rsidP="007D0172">
      <w:pPr>
        <w:spacing w:line="360" w:lineRule="auto"/>
        <w:rPr>
          <w:rFonts w:ascii="Times New Roman" w:hAnsi="Times New Roman" w:cs="Times New Roman"/>
          <w:sz w:val="24"/>
          <w:szCs w:val="24"/>
          <w:lang w:val="en-US"/>
        </w:rPr>
      </w:pPr>
      <w:r w:rsidRPr="007D0172">
        <w:rPr>
          <w:rFonts w:ascii="Times New Roman" w:hAnsi="Times New Roman" w:cs="Times New Roman"/>
          <w:sz w:val="24"/>
          <w:szCs w:val="24"/>
          <w:lang w:val="en-US"/>
        </w:rPr>
        <w:t xml:space="preserve">Table 1: Parameters considered for the sensitivity analysis </w:t>
      </w:r>
    </w:p>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4394"/>
        <w:gridCol w:w="2977"/>
      </w:tblGrid>
      <w:tr w:rsidR="007D0172" w:rsidRPr="007D0172" w14:paraId="3193ACE7" w14:textId="77777777" w:rsidTr="008C5AAF">
        <w:trPr>
          <w:trHeight w:val="329"/>
        </w:trPr>
        <w:tc>
          <w:tcPr>
            <w:tcW w:w="6379" w:type="dxa"/>
            <w:gridSpan w:val="2"/>
            <w:shd w:val="clear" w:color="auto" w:fill="auto"/>
            <w:tcMar>
              <w:top w:w="-332" w:type="dxa"/>
              <w:left w:w="-332" w:type="dxa"/>
              <w:bottom w:w="-332" w:type="dxa"/>
              <w:right w:w="-332" w:type="dxa"/>
            </w:tcMar>
          </w:tcPr>
          <w:p w14:paraId="41BCD234" w14:textId="77777777" w:rsidR="007D0172" w:rsidRPr="007D0172" w:rsidRDefault="007D0172" w:rsidP="007D0172">
            <w:pPr>
              <w:widowControl w:val="0"/>
              <w:pBdr>
                <w:top w:val="nil"/>
                <w:left w:val="nil"/>
                <w:bottom w:val="nil"/>
                <w:right w:val="nil"/>
                <w:between w:val="nil"/>
              </w:pBdr>
              <w:spacing w:after="0" w:line="360" w:lineRule="auto"/>
              <w:jc w:val="center"/>
              <w:rPr>
                <w:rFonts w:ascii="Times New Roman" w:hAnsi="Times New Roman" w:cs="Times New Roman"/>
                <w:b/>
                <w:sz w:val="24"/>
                <w:szCs w:val="24"/>
                <w:lang w:val="en-US"/>
              </w:rPr>
            </w:pPr>
            <w:r w:rsidRPr="007D0172">
              <w:rPr>
                <w:rFonts w:ascii="Times New Roman" w:hAnsi="Times New Roman" w:cs="Times New Roman"/>
                <w:b/>
                <w:sz w:val="24"/>
                <w:szCs w:val="24"/>
              </w:rPr>
              <w:t>Parameters</w:t>
            </w:r>
          </w:p>
        </w:tc>
        <w:tc>
          <w:tcPr>
            <w:tcW w:w="2977" w:type="dxa"/>
            <w:shd w:val="clear" w:color="auto" w:fill="auto"/>
          </w:tcPr>
          <w:p w14:paraId="03D8DC9A" w14:textId="77777777" w:rsidR="007D0172" w:rsidRPr="007D0172" w:rsidRDefault="007D0172" w:rsidP="007D0172">
            <w:pPr>
              <w:widowControl w:val="0"/>
              <w:pBdr>
                <w:top w:val="nil"/>
                <w:left w:val="nil"/>
                <w:bottom w:val="nil"/>
                <w:right w:val="nil"/>
                <w:between w:val="nil"/>
              </w:pBdr>
              <w:spacing w:after="0" w:line="360" w:lineRule="auto"/>
              <w:jc w:val="center"/>
              <w:rPr>
                <w:rFonts w:ascii="Times New Roman" w:hAnsi="Times New Roman" w:cs="Times New Roman"/>
                <w:b/>
                <w:sz w:val="24"/>
                <w:szCs w:val="24"/>
                <w:lang w:val="en-US"/>
              </w:rPr>
            </w:pPr>
            <w:r w:rsidRPr="007D0172">
              <w:rPr>
                <w:rFonts w:ascii="Times New Roman" w:hAnsi="Times New Roman" w:cs="Times New Roman"/>
                <w:b/>
                <w:sz w:val="24"/>
                <w:szCs w:val="24"/>
              </w:rPr>
              <w:t>Parameter Range</w:t>
            </w:r>
          </w:p>
        </w:tc>
      </w:tr>
      <w:tr w:rsidR="007D0172" w:rsidRPr="007D0172" w14:paraId="6D76773C" w14:textId="77777777" w:rsidTr="008C5AAF">
        <w:trPr>
          <w:trHeight w:val="1098"/>
        </w:trPr>
        <w:tc>
          <w:tcPr>
            <w:tcW w:w="1985" w:type="dxa"/>
            <w:shd w:val="clear" w:color="auto" w:fill="auto"/>
            <w:tcMar>
              <w:top w:w="-332" w:type="dxa"/>
              <w:left w:w="-332" w:type="dxa"/>
              <w:bottom w:w="-332" w:type="dxa"/>
              <w:right w:w="-332" w:type="dxa"/>
            </w:tcMar>
          </w:tcPr>
          <w:p w14:paraId="0550DB13" w14:textId="77777777" w:rsidR="007D0172" w:rsidRPr="007D0172" w:rsidRDefault="007D0172" w:rsidP="007D0172">
            <w:pPr>
              <w:widowControl w:val="0"/>
              <w:pBdr>
                <w:top w:val="nil"/>
                <w:left w:val="nil"/>
                <w:bottom w:val="nil"/>
                <w:right w:val="nil"/>
                <w:between w:val="nil"/>
              </w:pBdr>
              <w:spacing w:after="0" w:line="360" w:lineRule="auto"/>
              <w:rPr>
                <w:rFonts w:ascii="Times New Roman" w:hAnsi="Times New Roman" w:cs="Times New Roman"/>
                <w:sz w:val="24"/>
                <w:szCs w:val="24"/>
              </w:rPr>
            </w:pPr>
            <w:r w:rsidRPr="007D0172">
              <w:rPr>
                <w:rFonts w:ascii="Times New Roman" w:hAnsi="Times New Roman" w:cs="Times New Roman"/>
                <w:sz w:val="24"/>
                <w:szCs w:val="24"/>
              </w:rPr>
              <w:t>Intervention Effective Coverage</w:t>
            </w:r>
          </w:p>
        </w:tc>
        <w:tc>
          <w:tcPr>
            <w:tcW w:w="4394" w:type="dxa"/>
            <w:shd w:val="clear" w:color="auto" w:fill="auto"/>
            <w:tcMar>
              <w:top w:w="-332" w:type="dxa"/>
              <w:left w:w="-332" w:type="dxa"/>
              <w:bottom w:w="-332" w:type="dxa"/>
              <w:right w:w="-332" w:type="dxa"/>
            </w:tcMar>
          </w:tcPr>
          <w:p w14:paraId="09F10CC5" w14:textId="77777777" w:rsidR="007D0172" w:rsidRPr="007D0172" w:rsidRDefault="007D0172" w:rsidP="007D0172">
            <w:pPr>
              <w:widowControl w:val="0"/>
              <w:numPr>
                <w:ilvl w:val="0"/>
                <w:numId w:val="3"/>
              </w:numPr>
              <w:pBdr>
                <w:top w:val="nil"/>
                <w:left w:val="nil"/>
                <w:bottom w:val="nil"/>
                <w:right w:val="nil"/>
                <w:between w:val="nil"/>
              </w:pBdr>
              <w:tabs>
                <w:tab w:val="left" w:pos="851"/>
              </w:tabs>
              <w:spacing w:after="0" w:line="360" w:lineRule="auto"/>
              <w:rPr>
                <w:rFonts w:ascii="Times New Roman" w:hAnsi="Times New Roman" w:cs="Times New Roman"/>
                <w:sz w:val="24"/>
                <w:szCs w:val="24"/>
              </w:rPr>
            </w:pPr>
            <w:r w:rsidRPr="007D0172">
              <w:rPr>
                <w:rFonts w:ascii="Times New Roman" w:hAnsi="Times New Roman" w:cs="Times New Roman"/>
                <w:sz w:val="24"/>
                <w:szCs w:val="24"/>
              </w:rPr>
              <w:t>Future ITN coverage</w:t>
            </w:r>
          </w:p>
          <w:p w14:paraId="7F83A320" w14:textId="77777777" w:rsidR="007D0172" w:rsidRPr="007D0172" w:rsidRDefault="007D0172" w:rsidP="007D0172">
            <w:pPr>
              <w:widowControl w:val="0"/>
              <w:numPr>
                <w:ilvl w:val="0"/>
                <w:numId w:val="3"/>
              </w:numPr>
              <w:pBdr>
                <w:top w:val="nil"/>
                <w:left w:val="nil"/>
                <w:bottom w:val="nil"/>
                <w:right w:val="nil"/>
                <w:between w:val="nil"/>
              </w:pBdr>
              <w:tabs>
                <w:tab w:val="left" w:pos="851"/>
              </w:tabs>
              <w:spacing w:after="0" w:line="360" w:lineRule="auto"/>
              <w:rPr>
                <w:rFonts w:ascii="Times New Roman" w:hAnsi="Times New Roman" w:cs="Times New Roman"/>
                <w:sz w:val="24"/>
                <w:szCs w:val="24"/>
              </w:rPr>
            </w:pPr>
            <w:r w:rsidRPr="007D0172">
              <w:rPr>
                <w:rFonts w:ascii="Times New Roman" w:hAnsi="Times New Roman" w:cs="Times New Roman"/>
                <w:sz w:val="24"/>
                <w:szCs w:val="24"/>
              </w:rPr>
              <w:t>Future IRS coverage</w:t>
            </w:r>
          </w:p>
          <w:p w14:paraId="7816005A" w14:textId="77777777" w:rsidR="007D0172" w:rsidRPr="007D0172" w:rsidRDefault="007D0172" w:rsidP="007D0172">
            <w:pPr>
              <w:widowControl w:val="0"/>
              <w:numPr>
                <w:ilvl w:val="0"/>
                <w:numId w:val="3"/>
              </w:numPr>
              <w:pBdr>
                <w:top w:val="nil"/>
                <w:left w:val="nil"/>
                <w:bottom w:val="nil"/>
                <w:right w:val="nil"/>
                <w:between w:val="nil"/>
              </w:pBdr>
              <w:tabs>
                <w:tab w:val="left" w:pos="851"/>
              </w:tabs>
              <w:spacing w:after="0" w:line="360" w:lineRule="auto"/>
              <w:rPr>
                <w:rFonts w:ascii="Times New Roman" w:hAnsi="Times New Roman" w:cs="Times New Roman"/>
                <w:sz w:val="24"/>
                <w:szCs w:val="24"/>
              </w:rPr>
            </w:pPr>
            <w:r w:rsidRPr="007D0172">
              <w:rPr>
                <w:rFonts w:ascii="Times New Roman" w:hAnsi="Times New Roman" w:cs="Times New Roman"/>
                <w:sz w:val="24"/>
                <w:szCs w:val="24"/>
              </w:rPr>
              <w:t>Future SMC coverage</w:t>
            </w:r>
          </w:p>
          <w:p w14:paraId="7F18751A" w14:textId="77777777" w:rsidR="007D0172" w:rsidRPr="007D0172" w:rsidRDefault="007D0172" w:rsidP="007D0172">
            <w:pPr>
              <w:widowControl w:val="0"/>
              <w:numPr>
                <w:ilvl w:val="0"/>
                <w:numId w:val="3"/>
              </w:numPr>
              <w:pBdr>
                <w:top w:val="nil"/>
                <w:left w:val="nil"/>
                <w:bottom w:val="nil"/>
                <w:right w:val="nil"/>
                <w:between w:val="nil"/>
              </w:pBdr>
              <w:tabs>
                <w:tab w:val="left" w:pos="851"/>
              </w:tabs>
              <w:spacing w:after="0" w:line="360" w:lineRule="auto"/>
              <w:rPr>
                <w:rFonts w:ascii="Times New Roman" w:hAnsi="Times New Roman" w:cs="Times New Roman"/>
                <w:sz w:val="24"/>
                <w:szCs w:val="24"/>
              </w:rPr>
            </w:pPr>
            <w:r w:rsidRPr="007D0172">
              <w:rPr>
                <w:rFonts w:ascii="Times New Roman" w:hAnsi="Times New Roman" w:cs="Times New Roman"/>
                <w:sz w:val="24"/>
                <w:szCs w:val="24"/>
              </w:rPr>
              <w:t>Future Vaccine coverage</w:t>
            </w:r>
          </w:p>
        </w:tc>
        <w:tc>
          <w:tcPr>
            <w:tcW w:w="2977" w:type="dxa"/>
          </w:tcPr>
          <w:p w14:paraId="685162C0" w14:textId="77777777" w:rsidR="007D0172" w:rsidRPr="007D0172" w:rsidRDefault="007D0172" w:rsidP="007D0172">
            <w:pPr>
              <w:widowControl w:val="0"/>
              <w:pBdr>
                <w:top w:val="nil"/>
                <w:left w:val="nil"/>
                <w:bottom w:val="nil"/>
                <w:right w:val="nil"/>
                <w:between w:val="nil"/>
              </w:pBdr>
              <w:tabs>
                <w:tab w:val="left" w:pos="851"/>
              </w:tabs>
              <w:spacing w:after="0" w:line="360" w:lineRule="auto"/>
              <w:ind w:left="720"/>
              <w:rPr>
                <w:rFonts w:ascii="Times New Roman" w:hAnsi="Times New Roman" w:cs="Times New Roman"/>
                <w:sz w:val="24"/>
                <w:szCs w:val="24"/>
                <w:lang w:val="en-US"/>
              </w:rPr>
            </w:pPr>
            <w:r w:rsidRPr="007D0172">
              <w:rPr>
                <w:rFonts w:ascii="Times New Roman" w:hAnsi="Times New Roman" w:cs="Times New Roman"/>
                <w:sz w:val="24"/>
                <w:szCs w:val="24"/>
                <w:lang w:val="en-US"/>
              </w:rPr>
              <w:t>(0.2,1)</w:t>
            </w:r>
          </w:p>
          <w:p w14:paraId="154646C8" w14:textId="77777777" w:rsidR="007D0172" w:rsidRPr="007D0172" w:rsidRDefault="007D0172" w:rsidP="007D0172">
            <w:pPr>
              <w:widowControl w:val="0"/>
              <w:pBdr>
                <w:top w:val="nil"/>
                <w:left w:val="nil"/>
                <w:bottom w:val="nil"/>
                <w:right w:val="nil"/>
                <w:between w:val="nil"/>
              </w:pBdr>
              <w:tabs>
                <w:tab w:val="left" w:pos="851"/>
              </w:tabs>
              <w:spacing w:after="0" w:line="360" w:lineRule="auto"/>
              <w:ind w:left="720"/>
              <w:rPr>
                <w:rFonts w:ascii="Times New Roman" w:hAnsi="Times New Roman" w:cs="Times New Roman"/>
                <w:sz w:val="24"/>
                <w:szCs w:val="24"/>
                <w:lang w:val="en-US"/>
              </w:rPr>
            </w:pPr>
            <w:r w:rsidRPr="007D0172">
              <w:rPr>
                <w:rFonts w:ascii="Times New Roman" w:hAnsi="Times New Roman" w:cs="Times New Roman"/>
                <w:sz w:val="24"/>
                <w:szCs w:val="24"/>
                <w:lang w:val="en-US"/>
              </w:rPr>
              <w:t>(0.4,1)</w:t>
            </w:r>
          </w:p>
          <w:p w14:paraId="441610C4" w14:textId="77777777" w:rsidR="007D0172" w:rsidRPr="007D0172" w:rsidRDefault="007D0172" w:rsidP="007D0172">
            <w:pPr>
              <w:widowControl w:val="0"/>
              <w:pBdr>
                <w:top w:val="nil"/>
                <w:left w:val="nil"/>
                <w:bottom w:val="nil"/>
                <w:right w:val="nil"/>
                <w:between w:val="nil"/>
              </w:pBdr>
              <w:tabs>
                <w:tab w:val="left" w:pos="851"/>
              </w:tabs>
              <w:spacing w:after="0" w:line="360" w:lineRule="auto"/>
              <w:ind w:left="720"/>
              <w:rPr>
                <w:rFonts w:ascii="Times New Roman" w:hAnsi="Times New Roman" w:cs="Times New Roman"/>
                <w:sz w:val="24"/>
                <w:szCs w:val="24"/>
                <w:lang w:val="en-US"/>
              </w:rPr>
            </w:pPr>
            <w:r w:rsidRPr="007D0172">
              <w:rPr>
                <w:rFonts w:ascii="Times New Roman" w:hAnsi="Times New Roman" w:cs="Times New Roman"/>
                <w:sz w:val="24"/>
                <w:szCs w:val="24"/>
                <w:lang w:val="en-US"/>
              </w:rPr>
              <w:t>(0.2,1)</w:t>
            </w:r>
          </w:p>
          <w:p w14:paraId="1D8E0C31" w14:textId="77777777" w:rsidR="007D0172" w:rsidRPr="007D0172" w:rsidRDefault="007D0172" w:rsidP="007D0172">
            <w:pPr>
              <w:widowControl w:val="0"/>
              <w:pBdr>
                <w:top w:val="nil"/>
                <w:left w:val="nil"/>
                <w:bottom w:val="nil"/>
                <w:right w:val="nil"/>
                <w:between w:val="nil"/>
              </w:pBdr>
              <w:tabs>
                <w:tab w:val="left" w:pos="851"/>
              </w:tabs>
              <w:spacing w:after="0" w:line="360" w:lineRule="auto"/>
              <w:ind w:left="720"/>
              <w:rPr>
                <w:rFonts w:ascii="Times New Roman" w:hAnsi="Times New Roman" w:cs="Times New Roman"/>
                <w:sz w:val="24"/>
                <w:szCs w:val="24"/>
              </w:rPr>
            </w:pPr>
            <w:r w:rsidRPr="007D0172">
              <w:rPr>
                <w:rFonts w:ascii="Times New Roman" w:hAnsi="Times New Roman" w:cs="Times New Roman"/>
                <w:sz w:val="24"/>
                <w:szCs w:val="24"/>
                <w:lang w:val="en-US"/>
              </w:rPr>
              <w:t>(0.4,1)</w:t>
            </w:r>
          </w:p>
        </w:tc>
      </w:tr>
    </w:tbl>
    <w:p w14:paraId="1670DF9A" w14:textId="77777777" w:rsidR="007D0172" w:rsidRPr="007D0172" w:rsidRDefault="007D0172" w:rsidP="007D0172">
      <w:pPr>
        <w:spacing w:line="360" w:lineRule="auto"/>
        <w:rPr>
          <w:rFonts w:ascii="Times New Roman" w:hAnsi="Times New Roman" w:cs="Times New Roman"/>
          <w:sz w:val="24"/>
          <w:szCs w:val="24"/>
        </w:rPr>
      </w:pPr>
    </w:p>
    <w:p w14:paraId="11EA4C53" w14:textId="5A735F76" w:rsidR="00A75533" w:rsidRPr="007D0172" w:rsidRDefault="00A75533" w:rsidP="007D0172">
      <w:pPr>
        <w:pStyle w:val="Heading1"/>
        <w:spacing w:line="360" w:lineRule="auto"/>
        <w:rPr>
          <w:rFonts w:ascii="Times New Roman" w:hAnsi="Times New Roman" w:cs="Times New Roman"/>
          <w:bCs/>
          <w:sz w:val="24"/>
          <w:szCs w:val="24"/>
        </w:rPr>
      </w:pPr>
      <w:r w:rsidRPr="007D0172">
        <w:rPr>
          <w:rFonts w:ascii="Times New Roman" w:hAnsi="Times New Roman" w:cs="Times New Roman"/>
          <w:bCs/>
          <w:sz w:val="24"/>
          <w:szCs w:val="24"/>
        </w:rPr>
        <w:t>Results</w:t>
      </w:r>
    </w:p>
    <w:p w14:paraId="0C50E0E8" w14:textId="55E7D33F" w:rsidR="0059494B" w:rsidRPr="007D0172" w:rsidRDefault="00E73973" w:rsidP="007D0172">
      <w:pPr>
        <w:pStyle w:val="NormalWeb"/>
        <w:spacing w:line="360" w:lineRule="auto"/>
        <w:rPr>
          <w:bCs/>
        </w:rPr>
      </w:pPr>
      <w:r w:rsidRPr="008821A5">
        <w:rPr>
          <w:bCs/>
          <w:highlight w:val="yellow"/>
        </w:rPr>
        <w:t>Figure 1</w:t>
      </w:r>
      <w:r>
        <w:rPr>
          <w:bCs/>
        </w:rPr>
        <w:t xml:space="preserve"> shows the </w:t>
      </w:r>
      <w:r w:rsidR="0059494B" w:rsidRPr="007D0172">
        <w:rPr>
          <w:bCs/>
        </w:rPr>
        <w:t>relative contribution of interventions to averting uncomplicated malaria cases</w:t>
      </w:r>
      <w:r>
        <w:rPr>
          <w:bCs/>
        </w:rPr>
        <w:t>. Relative cases averted</w:t>
      </w:r>
      <w:r w:rsidR="0059494B" w:rsidRPr="007D0172">
        <w:rPr>
          <w:bCs/>
        </w:rPr>
        <w:t xml:space="preserve"> varied substantially by geographical setting and age group (Figure 1). Across most </w:t>
      </w:r>
      <w:r w:rsidR="00D97A92" w:rsidRPr="007D0172">
        <w:rPr>
          <w:bCs/>
        </w:rPr>
        <w:t>setting</w:t>
      </w:r>
      <w:r w:rsidR="0059494B" w:rsidRPr="007D0172">
        <w:rPr>
          <w:bCs/>
        </w:rPr>
        <w:t xml:space="preserve">s, </w:t>
      </w:r>
      <w:r w:rsidR="0059494B" w:rsidRPr="007D0172">
        <w:rPr>
          <w:rStyle w:val="Strong"/>
          <w:rFonts w:eastAsiaTheme="majorEastAsia"/>
          <w:b w:val="0"/>
        </w:rPr>
        <w:t>long-lasting insecticidal nets (LLINs)</w:t>
      </w:r>
      <w:r w:rsidR="0059494B" w:rsidRPr="007D0172">
        <w:rPr>
          <w:bCs/>
        </w:rPr>
        <w:t xml:space="preserve"> consistently contributed the largest proportion of cases averted, often accounting for over 75% of the impact.</w:t>
      </w:r>
      <w:r w:rsidR="0059494B" w:rsidRPr="007D0172">
        <w:rPr>
          <w:bCs/>
        </w:rPr>
        <w:t xml:space="preserve"> </w:t>
      </w:r>
      <w:r w:rsidR="0059494B" w:rsidRPr="007D0172">
        <w:rPr>
          <w:bCs/>
        </w:rPr>
        <w:t xml:space="preserve">In the northern regions </w:t>
      </w:r>
      <w:r w:rsidR="0059494B" w:rsidRPr="007D0172">
        <w:rPr>
          <w:bCs/>
          <w:i/>
          <w:iCs/>
        </w:rPr>
        <w:t>(</w:t>
      </w:r>
      <w:r w:rsidR="0059494B" w:rsidRPr="007D0172">
        <w:rPr>
          <w:rStyle w:val="Emphasis"/>
          <w:rFonts w:eastAsiaTheme="majorEastAsia"/>
          <w:bCs/>
          <w:i w:val="0"/>
          <w:iCs w:val="0"/>
        </w:rPr>
        <w:t>northern1–3, upper.west, north.east</w:t>
      </w:r>
      <w:r w:rsidR="0059494B" w:rsidRPr="007D0172">
        <w:rPr>
          <w:bCs/>
        </w:rPr>
        <w:t>)</w:t>
      </w:r>
      <w:r w:rsidR="00EE2605" w:rsidRPr="007D0172">
        <w:rPr>
          <w:bCs/>
        </w:rPr>
        <w:t>, where</w:t>
      </w:r>
      <w:r w:rsidR="0059494B" w:rsidRPr="007D0172">
        <w:rPr>
          <w:bCs/>
        </w:rPr>
        <w:t xml:space="preserve"> </w:t>
      </w:r>
      <w:r w:rsidR="0059494B" w:rsidRPr="007D0172">
        <w:rPr>
          <w:rStyle w:val="Strong"/>
          <w:rFonts w:eastAsiaTheme="majorEastAsia"/>
          <w:b w:val="0"/>
        </w:rPr>
        <w:t>seasonal malaria chemoprevention (SMC)</w:t>
      </w:r>
      <w:r w:rsidR="00EE2605" w:rsidRPr="007D0172">
        <w:rPr>
          <w:rStyle w:val="Strong"/>
          <w:rFonts w:eastAsiaTheme="majorEastAsia"/>
          <w:b w:val="0"/>
        </w:rPr>
        <w:t xml:space="preserve"> and </w:t>
      </w:r>
      <w:r w:rsidR="00EE2605" w:rsidRPr="007D0172">
        <w:rPr>
          <w:rStyle w:val="Strong"/>
          <w:rFonts w:eastAsiaTheme="majorEastAsia"/>
          <w:b w:val="0"/>
        </w:rPr>
        <w:t>indoor residual spraying (IRS)</w:t>
      </w:r>
      <w:r w:rsidR="00EE2605" w:rsidRPr="007D0172">
        <w:rPr>
          <w:bCs/>
        </w:rPr>
        <w:t xml:space="preserve"> </w:t>
      </w:r>
      <w:r w:rsidR="00EE2605" w:rsidRPr="007D0172">
        <w:rPr>
          <w:bCs/>
        </w:rPr>
        <w:t>are co-deployed, SMC</w:t>
      </w:r>
      <w:r w:rsidR="0059494B" w:rsidRPr="007D0172">
        <w:rPr>
          <w:bCs/>
        </w:rPr>
        <w:t xml:space="preserve"> contributed significantly to the reduction in cases, especially among children aged 0–5 years, where it often accounted for 30–50% of cases averted. In these same regions, </w:t>
      </w:r>
      <w:r w:rsidR="0059494B" w:rsidRPr="007D0172">
        <w:rPr>
          <w:rStyle w:val="Strong"/>
          <w:rFonts w:eastAsiaTheme="majorEastAsia"/>
          <w:b w:val="0"/>
        </w:rPr>
        <w:t>IRS</w:t>
      </w:r>
      <w:r w:rsidR="0059494B" w:rsidRPr="007D0172">
        <w:rPr>
          <w:bCs/>
        </w:rPr>
        <w:t xml:space="preserve"> also played </w:t>
      </w:r>
      <w:r w:rsidR="0059494B" w:rsidRPr="007D0172">
        <w:rPr>
          <w:bCs/>
        </w:rPr>
        <w:lastRenderedPageBreak/>
        <w:t xml:space="preserve">a substantial role, contributing up to 40% of impact in some </w:t>
      </w:r>
      <w:r w:rsidR="00EE2605" w:rsidRPr="007D0172">
        <w:rPr>
          <w:bCs/>
        </w:rPr>
        <w:t>settings</w:t>
      </w:r>
      <w:r w:rsidR="0059494B" w:rsidRPr="007D0172">
        <w:rPr>
          <w:bCs/>
        </w:rPr>
        <w:t xml:space="preserve"> (</w:t>
      </w:r>
      <w:r w:rsidR="0059494B" w:rsidRPr="007D0172">
        <w:rPr>
          <w:rStyle w:val="Emphasis"/>
          <w:rFonts w:eastAsiaTheme="majorEastAsia"/>
          <w:bCs/>
        </w:rPr>
        <w:t>northern1, upper.west3</w:t>
      </w:r>
      <w:r w:rsidR="0059494B" w:rsidRPr="007D0172">
        <w:rPr>
          <w:bCs/>
        </w:rPr>
        <w:t>), particularly among younger age groups.</w:t>
      </w:r>
      <w:r w:rsidR="00D97A92" w:rsidRPr="007D0172">
        <w:rPr>
          <w:bCs/>
        </w:rPr>
        <w:t xml:space="preserve"> </w:t>
      </w:r>
      <w:r w:rsidR="0059494B" w:rsidRPr="007D0172">
        <w:rPr>
          <w:bCs/>
        </w:rPr>
        <w:t xml:space="preserve">The </w:t>
      </w:r>
      <w:r w:rsidR="0059494B" w:rsidRPr="007D0172">
        <w:rPr>
          <w:rStyle w:val="Strong"/>
          <w:rFonts w:eastAsiaTheme="majorEastAsia"/>
          <w:b w:val="0"/>
        </w:rPr>
        <w:t>malaria vaccine</w:t>
      </w:r>
      <w:r w:rsidR="0059494B" w:rsidRPr="007D0172">
        <w:rPr>
          <w:bCs/>
        </w:rPr>
        <w:t xml:space="preserve"> showed a consistently small but non-negligible contribution in all s</w:t>
      </w:r>
      <w:r w:rsidR="00D97A92" w:rsidRPr="007D0172">
        <w:rPr>
          <w:bCs/>
        </w:rPr>
        <w:t>ettings</w:t>
      </w:r>
      <w:r w:rsidR="0059494B" w:rsidRPr="007D0172">
        <w:rPr>
          <w:bCs/>
        </w:rPr>
        <w:t>, generally making up less than 5% of the total relative impact. Its influence was mostly visible in younger age groups (0–5 years), aligning with the vaccine’s target demographic.</w:t>
      </w:r>
    </w:p>
    <w:p w14:paraId="1E24CF50" w14:textId="43BB18AE" w:rsidR="0059494B" w:rsidRDefault="0059494B" w:rsidP="007D0172">
      <w:pPr>
        <w:pStyle w:val="NormalWeb"/>
        <w:spacing w:line="360" w:lineRule="auto"/>
        <w:rPr>
          <w:bCs/>
        </w:rPr>
      </w:pPr>
      <w:r w:rsidRPr="007D0172">
        <w:rPr>
          <w:bCs/>
        </w:rPr>
        <w:t xml:space="preserve">A similar pattern was observed for </w:t>
      </w:r>
      <w:r w:rsidRPr="007D0172">
        <w:rPr>
          <w:rStyle w:val="Strong"/>
          <w:rFonts w:eastAsiaTheme="majorEastAsia"/>
          <w:b w:val="0"/>
        </w:rPr>
        <w:t>severe malaria</w:t>
      </w:r>
      <w:r w:rsidRPr="007D0172">
        <w:rPr>
          <w:bCs/>
        </w:rPr>
        <w:t xml:space="preserve"> (</w:t>
      </w:r>
      <w:r w:rsidRPr="008821A5">
        <w:rPr>
          <w:bCs/>
          <w:highlight w:val="yellow"/>
        </w:rPr>
        <w:t>Figure 2</w:t>
      </w:r>
      <w:r w:rsidRPr="007D0172">
        <w:rPr>
          <w:bCs/>
        </w:rPr>
        <w:t xml:space="preserve">), with </w:t>
      </w:r>
      <w:r w:rsidRPr="007D0172">
        <w:rPr>
          <w:rStyle w:val="Strong"/>
          <w:rFonts w:eastAsiaTheme="majorEastAsia"/>
          <w:b w:val="0"/>
        </w:rPr>
        <w:t>LLINs</w:t>
      </w:r>
      <w:r w:rsidRPr="007D0172">
        <w:rPr>
          <w:bCs/>
        </w:rPr>
        <w:t xml:space="preserve"> again forming the cornerstone of intervention impact across nearly all settings</w:t>
      </w:r>
      <w:r w:rsidR="00D97A92" w:rsidRPr="007D0172">
        <w:rPr>
          <w:bCs/>
        </w:rPr>
        <w:t xml:space="preserve"> where it is deployed</w:t>
      </w:r>
      <w:r w:rsidRPr="007D0172">
        <w:rPr>
          <w:bCs/>
        </w:rPr>
        <w:t xml:space="preserve">. Their contribution exceeded 60% in most </w:t>
      </w:r>
      <w:r w:rsidR="00D97A92" w:rsidRPr="007D0172">
        <w:rPr>
          <w:bCs/>
        </w:rPr>
        <w:t>setting</w:t>
      </w:r>
      <w:r w:rsidRPr="007D0172">
        <w:rPr>
          <w:bCs/>
        </w:rPr>
        <w:t>s, particularly in southern zones with lower transmission intensity.</w:t>
      </w:r>
      <w:r w:rsidR="00150886" w:rsidRPr="007D0172">
        <w:rPr>
          <w:bCs/>
        </w:rPr>
        <w:t xml:space="preserve"> </w:t>
      </w:r>
      <w:r w:rsidRPr="007D0172">
        <w:rPr>
          <w:rStyle w:val="Strong"/>
          <w:rFonts w:eastAsiaTheme="majorEastAsia"/>
          <w:b w:val="0"/>
        </w:rPr>
        <w:t xml:space="preserve">SMC </w:t>
      </w:r>
      <w:r w:rsidRPr="007D0172">
        <w:rPr>
          <w:bCs/>
        </w:rPr>
        <w:t xml:space="preserve">had heightened relative importance in </w:t>
      </w:r>
      <w:r w:rsidR="00150886" w:rsidRPr="007D0172">
        <w:rPr>
          <w:bCs/>
        </w:rPr>
        <w:t xml:space="preserve">the </w:t>
      </w:r>
      <w:r w:rsidRPr="007D0172">
        <w:rPr>
          <w:bCs/>
        </w:rPr>
        <w:t>northern settings (</w:t>
      </w:r>
      <w:r w:rsidRPr="007D0172">
        <w:rPr>
          <w:rStyle w:val="Emphasis"/>
          <w:rFonts w:eastAsiaTheme="majorEastAsia"/>
          <w:bCs/>
        </w:rPr>
        <w:t>northern, upper.east, upper.west</w:t>
      </w:r>
      <w:r w:rsidRPr="007D0172">
        <w:rPr>
          <w:bCs/>
        </w:rPr>
        <w:t xml:space="preserve">), where </w:t>
      </w:r>
      <w:r w:rsidR="00150886" w:rsidRPr="007D0172">
        <w:rPr>
          <w:bCs/>
        </w:rPr>
        <w:t>it</w:t>
      </w:r>
      <w:r w:rsidRPr="007D0172">
        <w:rPr>
          <w:bCs/>
        </w:rPr>
        <w:t xml:space="preserve"> contributed over </w:t>
      </w:r>
      <w:r w:rsidR="005729DC" w:rsidRPr="007D0172">
        <w:rPr>
          <w:bCs/>
        </w:rPr>
        <w:t>5</w:t>
      </w:r>
      <w:r w:rsidRPr="007D0172">
        <w:rPr>
          <w:bCs/>
        </w:rPr>
        <w:t xml:space="preserve">0% of averted severe cases in younger children. Notably, </w:t>
      </w:r>
      <w:r w:rsidRPr="007D0172">
        <w:rPr>
          <w:rStyle w:val="Strong"/>
          <w:rFonts w:eastAsiaTheme="majorEastAsia"/>
          <w:b w:val="0"/>
        </w:rPr>
        <w:t>S</w:t>
      </w:r>
      <w:r w:rsidR="00150886" w:rsidRPr="007D0172">
        <w:rPr>
          <w:rStyle w:val="Strong"/>
          <w:rFonts w:eastAsiaTheme="majorEastAsia"/>
          <w:b w:val="0"/>
        </w:rPr>
        <w:t>MC</w:t>
      </w:r>
      <w:r w:rsidRPr="007D0172">
        <w:rPr>
          <w:bCs/>
        </w:rPr>
        <w:t xml:space="preserve"> had a greater relative impact on severe cases than on uncomplicated cases in </w:t>
      </w:r>
      <w:r w:rsidR="00150886" w:rsidRPr="007D0172">
        <w:rPr>
          <w:bCs/>
        </w:rPr>
        <w:t>settings where they are co-deployed</w:t>
      </w:r>
      <w:r w:rsidRPr="007D0172">
        <w:rPr>
          <w:bCs/>
        </w:rPr>
        <w:t>.</w:t>
      </w:r>
      <w:r w:rsidR="00150886" w:rsidRPr="007D0172">
        <w:rPr>
          <w:bCs/>
        </w:rPr>
        <w:t xml:space="preserve"> </w:t>
      </w:r>
      <w:r w:rsidRPr="007D0172">
        <w:rPr>
          <w:bCs/>
        </w:rPr>
        <w:t xml:space="preserve">The </w:t>
      </w:r>
      <w:r w:rsidRPr="007D0172">
        <w:rPr>
          <w:rStyle w:val="Strong"/>
          <w:rFonts w:eastAsiaTheme="majorEastAsia"/>
          <w:b w:val="0"/>
        </w:rPr>
        <w:t>malaria vaccine</w:t>
      </w:r>
      <w:r w:rsidRPr="007D0172">
        <w:rPr>
          <w:bCs/>
        </w:rPr>
        <w:t xml:space="preserve"> continued to make a modest contribution, with slight increases in its proportional impact on severe malaria compared to uncomplicated malaria.</w:t>
      </w:r>
    </w:p>
    <w:p w14:paraId="10C5A37D" w14:textId="6E857EE6" w:rsidR="00E73973" w:rsidRDefault="00E73973" w:rsidP="007D0172">
      <w:pPr>
        <w:pStyle w:val="NormalWeb"/>
        <w:spacing w:line="360" w:lineRule="auto"/>
        <w:rPr>
          <w:bCs/>
        </w:rPr>
      </w:pPr>
      <w:r w:rsidRPr="008821A5">
        <w:rPr>
          <w:bCs/>
          <w:highlight w:val="yellow"/>
        </w:rPr>
        <w:t>Figure 3</w:t>
      </w:r>
      <w:r>
        <w:rPr>
          <w:bCs/>
        </w:rPr>
        <w:t xml:space="preserve"> shows the first-order sensitivity indices of the interventions per geographical setting. </w:t>
      </w:r>
      <w:r w:rsidR="00386A08">
        <w:rPr>
          <w:bCs/>
        </w:rPr>
        <w:t xml:space="preserve">High </w:t>
      </w:r>
      <w:r w:rsidR="008821A5">
        <w:rPr>
          <w:bCs/>
        </w:rPr>
        <w:t>S</w:t>
      </w:r>
      <w:r w:rsidR="00386A08">
        <w:rPr>
          <w:bCs/>
        </w:rPr>
        <w:t>obol ind</w:t>
      </w:r>
      <w:r w:rsidR="008821A5">
        <w:rPr>
          <w:bCs/>
        </w:rPr>
        <w:t>ices</w:t>
      </w:r>
      <w:r w:rsidR="00386A08">
        <w:rPr>
          <w:bCs/>
        </w:rPr>
        <w:t xml:space="preserve"> mean</w:t>
      </w:r>
      <w:r w:rsidR="008821A5">
        <w:rPr>
          <w:bCs/>
        </w:rPr>
        <w:t xml:space="preserve"> variation in the parameter causes larger changes in</w:t>
      </w:r>
      <w:r w:rsidR="00386A08">
        <w:rPr>
          <w:bCs/>
        </w:rPr>
        <w:t xml:space="preserve"> the model outcome (incidence reduction)</w:t>
      </w:r>
      <w:r w:rsidR="008821A5">
        <w:rPr>
          <w:bCs/>
        </w:rPr>
        <w:t xml:space="preserve"> causing the </w:t>
      </w:r>
      <w:r w:rsidR="008821A5">
        <w:rPr>
          <w:bCs/>
        </w:rPr>
        <w:t>model outcome (incidence reduction)</w:t>
      </w:r>
      <w:r w:rsidR="00386A08">
        <w:rPr>
          <w:bCs/>
        </w:rPr>
        <w:t xml:space="preserve"> </w:t>
      </w:r>
      <w:r w:rsidR="008821A5">
        <w:rPr>
          <w:bCs/>
        </w:rPr>
        <w:t>to be</w:t>
      </w:r>
      <w:r w:rsidR="00386A08">
        <w:rPr>
          <w:bCs/>
        </w:rPr>
        <w:t xml:space="preserve"> highly dependent on the performance of that intervention within th</w:t>
      </w:r>
      <w:r w:rsidR="008821A5">
        <w:rPr>
          <w:bCs/>
        </w:rPr>
        <w:t>e</w:t>
      </w:r>
      <w:r w:rsidR="00386A08">
        <w:rPr>
          <w:bCs/>
        </w:rPr>
        <w:t xml:space="preserve"> setting</w:t>
      </w:r>
      <w:r w:rsidR="008821A5">
        <w:rPr>
          <w:bCs/>
        </w:rPr>
        <w:t>,</w:t>
      </w:r>
      <w:r w:rsidR="00386A08">
        <w:rPr>
          <w:bCs/>
        </w:rPr>
        <w:t xml:space="preserve"> and vice versa. In nearly all settings, </w:t>
      </w:r>
      <w:r>
        <w:rPr>
          <w:bCs/>
        </w:rPr>
        <w:t xml:space="preserve">LLINs </w:t>
      </w:r>
      <w:r w:rsidR="00386A08">
        <w:rPr>
          <w:bCs/>
        </w:rPr>
        <w:t>had the highest Sobol indices indicating that</w:t>
      </w:r>
      <w:r>
        <w:rPr>
          <w:bCs/>
        </w:rPr>
        <w:t xml:space="preserve"> the main driver of incidence reduction in </w:t>
      </w:r>
      <w:r w:rsidR="00386A08">
        <w:rPr>
          <w:bCs/>
        </w:rPr>
        <w:t xml:space="preserve">those </w:t>
      </w:r>
      <w:r>
        <w:rPr>
          <w:bCs/>
        </w:rPr>
        <w:t>settings</w:t>
      </w:r>
      <w:r w:rsidR="00386A08">
        <w:rPr>
          <w:bCs/>
        </w:rPr>
        <w:t xml:space="preserve"> is LLIN coverage. Malaria vaccine consistently showed low</w:t>
      </w:r>
      <w:r w:rsidR="008821A5">
        <w:rPr>
          <w:bCs/>
        </w:rPr>
        <w:t xml:space="preserve"> Sobol indices in all settings, which indicates that vaccine coverage is not a key driver of incidence reduction.</w:t>
      </w:r>
    </w:p>
    <w:p w14:paraId="46B2F102" w14:textId="3709004A" w:rsidR="0059494B" w:rsidRPr="00AA1FFB" w:rsidRDefault="00E73973" w:rsidP="00AA1FFB">
      <w:pPr>
        <w:pStyle w:val="NormalWeb"/>
        <w:spacing w:line="360" w:lineRule="auto"/>
        <w:rPr>
          <w:bCs/>
        </w:rPr>
      </w:pPr>
      <w:r w:rsidRPr="008821A5">
        <w:rPr>
          <w:bCs/>
          <w:highlight w:val="yellow"/>
        </w:rPr>
        <w:t>Figure 4</w:t>
      </w:r>
      <w:r>
        <w:rPr>
          <w:bCs/>
        </w:rPr>
        <w:t xml:space="preserve"> shows a plot of the impact of interventions against their relative contribution to the output variance</w:t>
      </w:r>
      <w:r w:rsidR="00AA1FFB">
        <w:rPr>
          <w:bCs/>
        </w:rPr>
        <w:t xml:space="preserve">. </w:t>
      </w:r>
      <w:r w:rsidR="00AA1FFB" w:rsidRPr="005765CC">
        <w:rPr>
          <w:bCs/>
        </w:rPr>
        <w:t xml:space="preserve">IRS demonstrated high variance in both impact and sensitivity across settings. In regions such as </w:t>
      </w:r>
      <w:r w:rsidR="00AA1FFB" w:rsidRPr="005765CC">
        <w:rPr>
          <w:bCs/>
          <w:i/>
          <w:iCs/>
        </w:rPr>
        <w:t>ashanti1</w:t>
      </w:r>
      <w:r w:rsidR="00AA1FFB" w:rsidRPr="005765CC">
        <w:rPr>
          <w:bCs/>
        </w:rPr>
        <w:t xml:space="preserve"> and </w:t>
      </w:r>
      <w:r w:rsidR="00AA1FFB" w:rsidRPr="005765CC">
        <w:rPr>
          <w:bCs/>
          <w:i/>
          <w:iCs/>
        </w:rPr>
        <w:t>ashanti2</w:t>
      </w:r>
      <w:r w:rsidR="00AA1FFB" w:rsidRPr="005765CC">
        <w:rPr>
          <w:bCs/>
        </w:rPr>
        <w:t xml:space="preserve">, IRS had both high relative impact and high sensitivity indices (Sobol index &gt; 0.75), suggesting that decision-making in these settings is highly dependent on IRS-related parameters. However, other regions like </w:t>
      </w:r>
      <w:r w:rsidR="00AA1FFB" w:rsidRPr="005765CC">
        <w:rPr>
          <w:bCs/>
          <w:i/>
          <w:iCs/>
        </w:rPr>
        <w:t>north.east1</w:t>
      </w:r>
      <w:r w:rsidR="00AA1FFB" w:rsidRPr="005765CC">
        <w:rPr>
          <w:bCs/>
        </w:rPr>
        <w:t xml:space="preserve"> showed relatively lower sensitivity but moderate impact, indicating that while IRS is beneficial, its influence on output variability is limited in those contexts.</w:t>
      </w:r>
      <w:r w:rsidR="00AA1FFB">
        <w:rPr>
          <w:bCs/>
        </w:rPr>
        <w:t xml:space="preserve"> </w:t>
      </w:r>
      <w:r w:rsidR="00AA1FFB" w:rsidRPr="00AA1FFB">
        <w:rPr>
          <w:bCs/>
          <w:highlight w:val="yellow"/>
        </w:rPr>
        <w:t xml:space="preserve">LLIN consistently exhibited high relative impact and moderate to high sensitivity indices across nearly all settings. Most settings clustered in the top-right quadrant of the LLIN panel, showing both high contribution to output variance and high relative cases averted. This suggests that LLINs remain a </w:t>
      </w:r>
      <w:r w:rsidR="00AA1FFB" w:rsidRPr="00AA1FFB">
        <w:rPr>
          <w:bCs/>
          <w:highlight w:val="yellow"/>
        </w:rPr>
        <w:lastRenderedPageBreak/>
        <w:t xml:space="preserve">dominant driver of impact and a key </w:t>
      </w:r>
      <w:r w:rsidR="005C5DDA">
        <w:rPr>
          <w:bCs/>
          <w:highlight w:val="yellow"/>
        </w:rPr>
        <w:t>instrument</w:t>
      </w:r>
      <w:r w:rsidR="00AA1FFB" w:rsidRPr="00AA1FFB">
        <w:rPr>
          <w:bCs/>
          <w:highlight w:val="yellow"/>
        </w:rPr>
        <w:t xml:space="preserve"> in intervention planning.</w:t>
      </w:r>
      <w:r w:rsidR="00AA1FFB">
        <w:rPr>
          <w:bCs/>
        </w:rPr>
        <w:t xml:space="preserve"> </w:t>
      </w:r>
      <w:r w:rsidR="00AA1FFB" w:rsidRPr="00AA1FFB">
        <w:rPr>
          <w:bCs/>
        </w:rPr>
        <w:t xml:space="preserve">SMC displayed highly heterogeneous patterns across regions. In several settings (e.g., </w:t>
      </w:r>
      <w:r w:rsidR="00AA1FFB" w:rsidRPr="00AA1FFB">
        <w:rPr>
          <w:bCs/>
          <w:i/>
          <w:iCs/>
        </w:rPr>
        <w:t>central2</w:t>
      </w:r>
      <w:r w:rsidR="00AA1FFB" w:rsidRPr="00AA1FFB">
        <w:rPr>
          <w:bCs/>
        </w:rPr>
        <w:t xml:space="preserve">, </w:t>
      </w:r>
      <w:r w:rsidR="00AA1FFB" w:rsidRPr="00AA1FFB">
        <w:rPr>
          <w:bCs/>
          <w:i/>
          <w:iCs/>
        </w:rPr>
        <w:t>northern3</w:t>
      </w:r>
      <w:r w:rsidR="00AA1FFB" w:rsidRPr="00AA1FFB">
        <w:rPr>
          <w:bCs/>
        </w:rPr>
        <w:t xml:space="preserve">), SMC had a moderate to high impact but low sensitivity indices, indicating robust performance with low parameter-driven uncertainty. However, settings like </w:t>
      </w:r>
      <w:r w:rsidR="00AA1FFB" w:rsidRPr="00AA1FFB">
        <w:rPr>
          <w:bCs/>
          <w:i/>
          <w:iCs/>
        </w:rPr>
        <w:t>north.east2</w:t>
      </w:r>
      <w:r w:rsidR="00AA1FFB" w:rsidRPr="00AA1FFB">
        <w:rPr>
          <w:bCs/>
        </w:rPr>
        <w:t xml:space="preserve"> showed higher Sobol indices, suggesting that the effectiveness of SMC is highly sensitive to deployment parameters in certain contexts.</w:t>
      </w:r>
      <w:r w:rsidR="00386A08">
        <w:rPr>
          <w:bCs/>
        </w:rPr>
        <w:t xml:space="preserve"> M</w:t>
      </w:r>
      <w:r w:rsidR="00AA1FFB" w:rsidRPr="00AA1FFB">
        <w:rPr>
          <w:bCs/>
        </w:rPr>
        <w:t>alaria vaccine exhibited generally low impact and low sensitivity across all settings, with most points clustered near the origin. This suggests limited influence on output variance and relatively low effectiveness in isolation under current deployment assumptions.</w:t>
      </w:r>
    </w:p>
    <w:p w14:paraId="1928C335" w14:textId="74934AC6" w:rsidR="00A75533" w:rsidRPr="007D0172" w:rsidRDefault="00A75533" w:rsidP="007D0172">
      <w:pPr>
        <w:pStyle w:val="Heading1"/>
        <w:spacing w:line="360" w:lineRule="auto"/>
        <w:rPr>
          <w:rFonts w:ascii="Times New Roman" w:hAnsi="Times New Roman" w:cs="Times New Roman"/>
          <w:bCs/>
          <w:sz w:val="24"/>
          <w:szCs w:val="24"/>
          <w:lang w:val="en-US"/>
        </w:rPr>
      </w:pPr>
      <w:r w:rsidRPr="007D0172">
        <w:rPr>
          <w:rFonts w:ascii="Times New Roman" w:hAnsi="Times New Roman" w:cs="Times New Roman"/>
          <w:bCs/>
          <w:sz w:val="24"/>
          <w:szCs w:val="24"/>
          <w:lang w:val="en-US"/>
        </w:rPr>
        <w:t>Discussion</w:t>
      </w:r>
    </w:p>
    <w:p w14:paraId="3BE4EA98" w14:textId="52F22032" w:rsidR="00AA1FFB" w:rsidRPr="00AA1FFB" w:rsidRDefault="00AA1FFB" w:rsidP="00AA1FFB">
      <w:pPr>
        <w:spacing w:line="360" w:lineRule="auto"/>
        <w:rPr>
          <w:rFonts w:ascii="Times New Roman" w:hAnsi="Times New Roman" w:cs="Times New Roman"/>
          <w:bCs/>
          <w:sz w:val="24"/>
          <w:szCs w:val="24"/>
          <w:lang w:val="en-CH"/>
        </w:rPr>
      </w:pPr>
      <w:r w:rsidRPr="00AA1FFB">
        <w:rPr>
          <w:rFonts w:ascii="Times New Roman" w:hAnsi="Times New Roman" w:cs="Times New Roman"/>
          <w:bCs/>
          <w:sz w:val="24"/>
          <w:szCs w:val="24"/>
          <w:lang w:val="en-CH"/>
        </w:rPr>
        <w:t>We assessed the relationship between the impact of malaria interventions</w:t>
      </w:r>
      <w:r w:rsidR="005C5DDA">
        <w:rPr>
          <w:rFonts w:ascii="Times New Roman" w:hAnsi="Times New Roman" w:cs="Times New Roman"/>
          <w:bCs/>
          <w:sz w:val="24"/>
          <w:szCs w:val="24"/>
          <w:lang w:val="en-CH"/>
        </w:rPr>
        <w:t xml:space="preserve"> – </w:t>
      </w:r>
      <w:r w:rsidRPr="00AA1FFB">
        <w:rPr>
          <w:rFonts w:ascii="Times New Roman" w:hAnsi="Times New Roman" w:cs="Times New Roman"/>
          <w:bCs/>
          <w:sz w:val="24"/>
          <w:szCs w:val="24"/>
          <w:lang w:val="en-CH"/>
        </w:rPr>
        <w:t>measured as relative cases averted</w:t>
      </w:r>
      <w:r w:rsidR="005C5DDA">
        <w:rPr>
          <w:rFonts w:ascii="Times New Roman" w:hAnsi="Times New Roman" w:cs="Times New Roman"/>
          <w:bCs/>
          <w:sz w:val="24"/>
          <w:szCs w:val="24"/>
          <w:lang w:val="en-CH"/>
        </w:rPr>
        <w:t xml:space="preserve"> – </w:t>
      </w:r>
      <w:r w:rsidRPr="00AA1FFB">
        <w:rPr>
          <w:rFonts w:ascii="Times New Roman" w:hAnsi="Times New Roman" w:cs="Times New Roman"/>
          <w:bCs/>
          <w:sz w:val="24"/>
          <w:szCs w:val="24"/>
          <w:lang w:val="en-CH"/>
        </w:rPr>
        <w:t>and their contribution to model output variance using Sobol sensitivity indices across multiple transmission settings. This relationship was evaluated separately for four key interventions: IRS, LLIN, SMC, and malaria vaccine.</w:t>
      </w:r>
    </w:p>
    <w:p w14:paraId="24D4EF30" w14:textId="77777777" w:rsidR="00AA1FFB" w:rsidRPr="00AA1FFB" w:rsidRDefault="00AA1FFB" w:rsidP="007D0172">
      <w:pPr>
        <w:spacing w:line="360" w:lineRule="auto"/>
        <w:rPr>
          <w:rFonts w:ascii="Times New Roman" w:hAnsi="Times New Roman" w:cs="Times New Roman"/>
          <w:bCs/>
          <w:sz w:val="24"/>
          <w:szCs w:val="24"/>
          <w:lang w:val="en-CH"/>
        </w:rPr>
      </w:pPr>
    </w:p>
    <w:p w14:paraId="0A44FEEF" w14:textId="72531EDE" w:rsidR="00570F47" w:rsidRPr="007D0172" w:rsidRDefault="00570F47" w:rsidP="007D0172">
      <w:pPr>
        <w:spacing w:line="360" w:lineRule="auto"/>
        <w:rPr>
          <w:rFonts w:ascii="Times New Roman" w:hAnsi="Times New Roman" w:cs="Times New Roman"/>
          <w:bCs/>
          <w:sz w:val="24"/>
          <w:szCs w:val="24"/>
          <w:lang w:val="en-US"/>
        </w:rPr>
      </w:pPr>
      <w:r w:rsidRPr="007D0172">
        <w:rPr>
          <w:rFonts w:ascii="Times New Roman" w:hAnsi="Times New Roman" w:cs="Times New Roman"/>
          <w:bCs/>
          <w:sz w:val="24"/>
          <w:szCs w:val="24"/>
          <w:lang w:val="en-US"/>
        </w:rPr>
        <w:t>The results above</w:t>
      </w:r>
      <w:r w:rsidR="00D76A57">
        <w:rPr>
          <w:rFonts w:ascii="Times New Roman" w:hAnsi="Times New Roman" w:cs="Times New Roman"/>
          <w:bCs/>
          <w:sz w:val="24"/>
          <w:szCs w:val="24"/>
          <w:lang w:val="en-US"/>
        </w:rPr>
        <w:t xml:space="preserve"> (Fig 1 and 2)</w:t>
      </w:r>
      <w:r w:rsidRPr="007D0172">
        <w:rPr>
          <w:rFonts w:ascii="Times New Roman" w:hAnsi="Times New Roman" w:cs="Times New Roman"/>
          <w:bCs/>
          <w:sz w:val="24"/>
          <w:szCs w:val="24"/>
          <w:lang w:val="en-US"/>
        </w:rPr>
        <w:t xml:space="preserve"> are based on a single set of coverage levels used in the current NSP, and deciding on what interventions to remove or coverages to reduce will be basing the decision on that single set of coverage levels. The sensitivity analysis gives us an idea of how robust these results are when coverages are varied</w:t>
      </w:r>
    </w:p>
    <w:p w14:paraId="13F4C1C3" w14:textId="77777777" w:rsidR="00570F47" w:rsidRPr="007D0172" w:rsidRDefault="00570F47" w:rsidP="007D0172">
      <w:pPr>
        <w:spacing w:line="360" w:lineRule="auto"/>
        <w:rPr>
          <w:rFonts w:ascii="Times New Roman" w:hAnsi="Times New Roman" w:cs="Times New Roman"/>
          <w:bCs/>
          <w:sz w:val="24"/>
          <w:szCs w:val="24"/>
          <w:lang w:val="en-US"/>
        </w:rPr>
      </w:pPr>
      <w:r w:rsidRPr="007D0172">
        <w:rPr>
          <w:rFonts w:ascii="Times New Roman" w:hAnsi="Times New Roman" w:cs="Times New Roman"/>
          <w:bCs/>
          <w:sz w:val="24"/>
          <w:szCs w:val="24"/>
          <w:lang w:val="en-US"/>
        </w:rPr>
        <w:t>Our results suggest that changes in ITN coverage might have the most significant impact on the decisions made by the NMEP</w:t>
      </w:r>
    </w:p>
    <w:p w14:paraId="2FBA0C64" w14:textId="77777777" w:rsidR="00570F47" w:rsidRDefault="00570F47" w:rsidP="007D0172">
      <w:pPr>
        <w:spacing w:line="360" w:lineRule="auto"/>
        <w:rPr>
          <w:rFonts w:ascii="Times New Roman" w:hAnsi="Times New Roman" w:cs="Times New Roman"/>
          <w:bCs/>
          <w:sz w:val="24"/>
          <w:szCs w:val="24"/>
          <w:lang w:val="en-US"/>
        </w:rPr>
      </w:pPr>
      <w:r w:rsidRPr="007D0172">
        <w:rPr>
          <w:rFonts w:ascii="Times New Roman" w:hAnsi="Times New Roman" w:cs="Times New Roman"/>
          <w:bCs/>
          <w:sz w:val="24"/>
          <w:szCs w:val="24"/>
          <w:lang w:val="en-US"/>
        </w:rPr>
        <w:t>Priority should be given to ranges of stability where the outcome remains stable even when the input parameters are varied (i.e. Lower sensitivity indices).</w:t>
      </w:r>
    </w:p>
    <w:p w14:paraId="0D90D56B" w14:textId="06CA6E4B" w:rsidR="00270B27" w:rsidRPr="007D0172" w:rsidRDefault="00270B27" w:rsidP="007D0172">
      <w:pPr>
        <w:spacing w:line="360" w:lineRule="auto"/>
        <w:rPr>
          <w:rFonts w:ascii="Times New Roman" w:hAnsi="Times New Roman" w:cs="Times New Roman"/>
          <w:bCs/>
          <w:sz w:val="24"/>
          <w:szCs w:val="24"/>
          <w:lang w:val="en-US"/>
        </w:rPr>
      </w:pPr>
      <w:r>
        <w:rPr>
          <w:rFonts w:ascii="Times New Roman" w:hAnsi="Times New Roman" w:cs="Times New Roman"/>
          <w:bCs/>
          <w:sz w:val="24"/>
          <w:szCs w:val="24"/>
          <w:lang w:val="en-US"/>
        </w:rPr>
        <w:t xml:space="preserve">Case management and LLINs are the cornerstone of malaria control in sub Saharan Africa, as they represent a combination of treatment and prevention in the control of malaria. </w:t>
      </w:r>
    </w:p>
    <w:p w14:paraId="4725A558" w14:textId="77777777" w:rsidR="00570F47" w:rsidRPr="007D0172" w:rsidRDefault="00570F47" w:rsidP="007D0172">
      <w:pPr>
        <w:spacing w:line="360" w:lineRule="auto"/>
        <w:rPr>
          <w:rFonts w:ascii="Times New Roman" w:hAnsi="Times New Roman" w:cs="Times New Roman"/>
          <w:sz w:val="24"/>
          <w:szCs w:val="24"/>
          <w:lang w:val="en-US"/>
        </w:rPr>
      </w:pPr>
    </w:p>
    <w:p w14:paraId="57E187A4" w14:textId="36111B76" w:rsidR="00A75533" w:rsidRPr="007D0172" w:rsidRDefault="00A75533" w:rsidP="007D0172">
      <w:pPr>
        <w:pStyle w:val="Heading1"/>
        <w:spacing w:line="360" w:lineRule="auto"/>
        <w:rPr>
          <w:rFonts w:ascii="Times New Roman" w:hAnsi="Times New Roman" w:cs="Times New Roman"/>
          <w:bCs/>
          <w:sz w:val="24"/>
          <w:szCs w:val="24"/>
          <w:lang w:val="en-US"/>
        </w:rPr>
      </w:pPr>
      <w:r w:rsidRPr="007D0172">
        <w:rPr>
          <w:rFonts w:ascii="Times New Roman" w:hAnsi="Times New Roman" w:cs="Times New Roman"/>
          <w:bCs/>
          <w:sz w:val="24"/>
          <w:szCs w:val="24"/>
          <w:lang w:val="en-US"/>
        </w:rPr>
        <w:t>Conclusion</w:t>
      </w:r>
    </w:p>
    <w:p w14:paraId="7EC34D31" w14:textId="77777777" w:rsidR="007D0172" w:rsidRPr="007D0172" w:rsidRDefault="007D0172" w:rsidP="007D0172">
      <w:pPr>
        <w:spacing w:line="360" w:lineRule="auto"/>
        <w:rPr>
          <w:rFonts w:ascii="Times New Roman" w:hAnsi="Times New Roman" w:cs="Times New Roman"/>
          <w:sz w:val="24"/>
          <w:szCs w:val="24"/>
          <w:lang w:val="en-CH"/>
        </w:rPr>
      </w:pPr>
      <w:r w:rsidRPr="007D0172">
        <w:rPr>
          <w:rFonts w:ascii="Times New Roman" w:hAnsi="Times New Roman" w:cs="Times New Roman"/>
          <w:sz w:val="24"/>
          <w:szCs w:val="24"/>
          <w:lang w:val="en-CH"/>
        </w:rPr>
        <w:t>If the NMCP must reduce or remove interventions to fit the budget, the best evidence-based course of action is:</w:t>
      </w:r>
    </w:p>
    <w:p w14:paraId="257551AE" w14:textId="77777777" w:rsidR="007D0172" w:rsidRPr="007D0172" w:rsidRDefault="007D0172" w:rsidP="00E73973">
      <w:pPr>
        <w:numPr>
          <w:ilvl w:val="0"/>
          <w:numId w:val="4"/>
        </w:numPr>
        <w:spacing w:line="360" w:lineRule="auto"/>
        <w:rPr>
          <w:rFonts w:ascii="Times New Roman" w:hAnsi="Times New Roman" w:cs="Times New Roman"/>
          <w:sz w:val="24"/>
          <w:szCs w:val="24"/>
          <w:lang w:val="en-CH"/>
        </w:rPr>
      </w:pPr>
      <w:r w:rsidRPr="007D0172">
        <w:rPr>
          <w:rFonts w:ascii="Times New Roman" w:hAnsi="Times New Roman" w:cs="Times New Roman"/>
          <w:sz w:val="24"/>
          <w:szCs w:val="24"/>
          <w:lang w:val="en-CH"/>
        </w:rPr>
        <w:lastRenderedPageBreak/>
        <w:t>Remove or scale back the malaria vaccine from current plans, given its consistently low impact.</w:t>
      </w:r>
    </w:p>
    <w:p w14:paraId="20CB43E0" w14:textId="77777777" w:rsidR="007D0172" w:rsidRPr="007D0172" w:rsidRDefault="007D0172" w:rsidP="00E73973">
      <w:pPr>
        <w:numPr>
          <w:ilvl w:val="0"/>
          <w:numId w:val="4"/>
        </w:numPr>
        <w:spacing w:line="360" w:lineRule="auto"/>
        <w:rPr>
          <w:rFonts w:ascii="Times New Roman" w:hAnsi="Times New Roman" w:cs="Times New Roman"/>
          <w:sz w:val="24"/>
          <w:szCs w:val="24"/>
          <w:lang w:val="en-CH"/>
        </w:rPr>
      </w:pPr>
      <w:r w:rsidRPr="007D0172">
        <w:rPr>
          <w:rFonts w:ascii="Times New Roman" w:hAnsi="Times New Roman" w:cs="Times New Roman"/>
          <w:sz w:val="24"/>
          <w:szCs w:val="24"/>
          <w:lang w:val="en-CH"/>
        </w:rPr>
        <w:t>Target IRS reductions to low-impact settings — keep only in regions where it contributes significantly.</w:t>
      </w:r>
    </w:p>
    <w:p w14:paraId="30F79CAD" w14:textId="77777777" w:rsidR="007D0172" w:rsidRPr="007D0172" w:rsidRDefault="007D0172" w:rsidP="00E73973">
      <w:pPr>
        <w:numPr>
          <w:ilvl w:val="0"/>
          <w:numId w:val="4"/>
        </w:numPr>
        <w:spacing w:line="360" w:lineRule="auto"/>
        <w:rPr>
          <w:rFonts w:ascii="Times New Roman" w:hAnsi="Times New Roman" w:cs="Times New Roman"/>
          <w:sz w:val="24"/>
          <w:szCs w:val="24"/>
          <w:lang w:val="en-CH"/>
        </w:rPr>
      </w:pPr>
      <w:r w:rsidRPr="007D0172">
        <w:rPr>
          <w:rFonts w:ascii="Times New Roman" w:hAnsi="Times New Roman" w:cs="Times New Roman"/>
          <w:sz w:val="24"/>
          <w:szCs w:val="24"/>
          <w:lang w:val="en-CH"/>
        </w:rPr>
        <w:t>Retain LLIN at full coverage — it is the most impactful and sensitive intervention.</w:t>
      </w:r>
    </w:p>
    <w:p w14:paraId="3FAFA8CB" w14:textId="5731B0B5" w:rsidR="007D0172" w:rsidRDefault="007D0172" w:rsidP="00E73973">
      <w:pPr>
        <w:numPr>
          <w:ilvl w:val="0"/>
          <w:numId w:val="4"/>
        </w:numPr>
        <w:spacing w:line="360" w:lineRule="auto"/>
        <w:rPr>
          <w:rFonts w:ascii="Times New Roman" w:hAnsi="Times New Roman" w:cs="Times New Roman"/>
          <w:sz w:val="24"/>
          <w:szCs w:val="24"/>
          <w:lang w:val="en-CH"/>
        </w:rPr>
      </w:pPr>
      <w:r w:rsidRPr="007D0172">
        <w:rPr>
          <w:rFonts w:ascii="Times New Roman" w:hAnsi="Times New Roman" w:cs="Times New Roman"/>
          <w:sz w:val="24"/>
          <w:szCs w:val="24"/>
          <w:lang w:val="en-CH"/>
        </w:rPr>
        <w:t>Maintain SMC selectively, focusing on high-burden northern regions where it is effective.</w:t>
      </w:r>
    </w:p>
    <w:p w14:paraId="36D80BE9" w14:textId="21C897B3" w:rsidR="00A75533" w:rsidRPr="009924E9" w:rsidRDefault="0008121A" w:rsidP="009924E9">
      <w:pPr>
        <w:spacing w:line="360" w:lineRule="auto"/>
        <w:rPr>
          <w:rFonts w:ascii="Times New Roman" w:hAnsi="Times New Roman" w:cs="Times New Roman"/>
          <w:sz w:val="24"/>
          <w:szCs w:val="24"/>
          <w:lang w:val="en-CH"/>
        </w:rPr>
      </w:pPr>
      <w:r>
        <w:rPr>
          <w:rFonts w:ascii="Times New Roman" w:hAnsi="Times New Roman" w:cs="Times New Roman"/>
          <w:sz w:val="24"/>
          <w:szCs w:val="24"/>
          <w:lang w:val="en-CH"/>
        </w:rPr>
        <w:t>If LLINs must still be reduced or removed in some settings due to budget constrains, settings with low impact and low sensitivity should be considered first.</w:t>
      </w:r>
    </w:p>
    <w:p w14:paraId="5B58EBFC" w14:textId="77777777" w:rsidR="007D0172" w:rsidRDefault="007D0172" w:rsidP="007D0172">
      <w:pPr>
        <w:rPr>
          <w:lang w:val="en-US"/>
        </w:rPr>
      </w:pPr>
    </w:p>
    <w:p w14:paraId="371E6578" w14:textId="77777777" w:rsidR="007D0172" w:rsidRDefault="007D0172" w:rsidP="007D0172">
      <w:pPr>
        <w:rPr>
          <w:lang w:val="en-US"/>
        </w:rPr>
      </w:pPr>
    </w:p>
    <w:p w14:paraId="194C39CB" w14:textId="77777777" w:rsidR="007D0172" w:rsidRDefault="007D0172" w:rsidP="007D0172">
      <w:pPr>
        <w:rPr>
          <w:lang w:val="en-US"/>
        </w:rPr>
      </w:pPr>
    </w:p>
    <w:p w14:paraId="0E9CEE76" w14:textId="77777777" w:rsidR="007D0172" w:rsidRDefault="007D0172" w:rsidP="007D0172">
      <w:pPr>
        <w:rPr>
          <w:lang w:val="en-US"/>
        </w:rPr>
      </w:pPr>
    </w:p>
    <w:p w14:paraId="619ED6FB" w14:textId="77777777" w:rsidR="007D0172" w:rsidRDefault="007D0172" w:rsidP="007D0172">
      <w:pPr>
        <w:rPr>
          <w:lang w:val="en-US"/>
        </w:rPr>
      </w:pPr>
    </w:p>
    <w:p w14:paraId="0EE62BAA" w14:textId="77777777" w:rsidR="007D0172" w:rsidRDefault="007D0172" w:rsidP="007D0172">
      <w:pPr>
        <w:rPr>
          <w:lang w:val="en-US"/>
        </w:rPr>
      </w:pPr>
    </w:p>
    <w:p w14:paraId="5846E966" w14:textId="77777777" w:rsidR="007D0172" w:rsidRDefault="007D0172" w:rsidP="007D0172">
      <w:pPr>
        <w:rPr>
          <w:lang w:val="en-US"/>
        </w:rPr>
      </w:pPr>
    </w:p>
    <w:p w14:paraId="23B21C05" w14:textId="77777777" w:rsidR="007D0172" w:rsidRDefault="007D0172" w:rsidP="007D0172">
      <w:pPr>
        <w:rPr>
          <w:lang w:val="en-US"/>
        </w:rPr>
      </w:pPr>
    </w:p>
    <w:p w14:paraId="5882470E" w14:textId="77777777" w:rsidR="007D0172" w:rsidRDefault="007D0172" w:rsidP="007D0172">
      <w:pPr>
        <w:rPr>
          <w:lang w:val="en-US"/>
        </w:rPr>
      </w:pPr>
    </w:p>
    <w:p w14:paraId="4D0B581A" w14:textId="77777777" w:rsidR="007D0172" w:rsidRDefault="007D0172" w:rsidP="007D0172">
      <w:pPr>
        <w:rPr>
          <w:lang w:val="en-US"/>
        </w:rPr>
      </w:pPr>
    </w:p>
    <w:p w14:paraId="70987203" w14:textId="77777777" w:rsidR="007D0172" w:rsidRDefault="007D0172" w:rsidP="007D0172">
      <w:pPr>
        <w:rPr>
          <w:lang w:val="en-US"/>
        </w:rPr>
      </w:pPr>
    </w:p>
    <w:p w14:paraId="6BC96761" w14:textId="77777777" w:rsidR="007D0172" w:rsidRDefault="007D0172" w:rsidP="007D0172">
      <w:pPr>
        <w:rPr>
          <w:lang w:val="en-US"/>
        </w:rPr>
      </w:pPr>
    </w:p>
    <w:p w14:paraId="1CDB6B6A" w14:textId="77777777" w:rsidR="00386A08" w:rsidRDefault="00386A08" w:rsidP="007D0172">
      <w:pPr>
        <w:rPr>
          <w:lang w:val="en-US"/>
        </w:rPr>
      </w:pPr>
    </w:p>
    <w:p w14:paraId="2D9F9D3B" w14:textId="77777777" w:rsidR="00386A08" w:rsidRDefault="00386A08" w:rsidP="007D0172">
      <w:pPr>
        <w:rPr>
          <w:lang w:val="en-US"/>
        </w:rPr>
      </w:pPr>
    </w:p>
    <w:p w14:paraId="728EAE3C" w14:textId="77777777" w:rsidR="00386A08" w:rsidRDefault="00386A08" w:rsidP="007D0172">
      <w:pPr>
        <w:rPr>
          <w:lang w:val="en-US"/>
        </w:rPr>
      </w:pPr>
    </w:p>
    <w:p w14:paraId="23F19977" w14:textId="77777777" w:rsidR="00386A08" w:rsidRDefault="00386A08" w:rsidP="007D0172">
      <w:pPr>
        <w:rPr>
          <w:lang w:val="en-US"/>
        </w:rPr>
      </w:pPr>
    </w:p>
    <w:p w14:paraId="54C79AF2" w14:textId="69A03E91" w:rsidR="00A75533" w:rsidRDefault="00A75533" w:rsidP="007D0172">
      <w:pPr>
        <w:pStyle w:val="Heading1"/>
        <w:spacing w:line="360" w:lineRule="auto"/>
        <w:rPr>
          <w:rFonts w:ascii="Times New Roman" w:hAnsi="Times New Roman" w:cs="Times New Roman"/>
          <w:bCs/>
          <w:sz w:val="24"/>
          <w:szCs w:val="24"/>
          <w:lang w:val="en-US"/>
        </w:rPr>
      </w:pPr>
      <w:r w:rsidRPr="007D0172">
        <w:rPr>
          <w:rFonts w:ascii="Times New Roman" w:hAnsi="Times New Roman" w:cs="Times New Roman"/>
          <w:bCs/>
          <w:sz w:val="24"/>
          <w:szCs w:val="24"/>
          <w:lang w:val="en-US"/>
        </w:rPr>
        <w:t>References</w:t>
      </w:r>
    </w:p>
    <w:p w14:paraId="679A35CB" w14:textId="77777777" w:rsidR="001A2D6F" w:rsidRPr="001A2D6F" w:rsidRDefault="009924E9" w:rsidP="001A2D6F">
      <w:pPr>
        <w:pStyle w:val="Bibliography"/>
        <w:rPr>
          <w:rFonts w:ascii="Aptos" w:hAnsi="Aptos"/>
          <w:lang w:val="en-US"/>
        </w:rPr>
      </w:pPr>
      <w:r>
        <w:rPr>
          <w:lang w:val="en-US"/>
        </w:rPr>
        <w:fldChar w:fldCharType="begin"/>
      </w:r>
      <w:r w:rsidR="001A2D6F">
        <w:rPr>
          <w:lang w:val="en-US"/>
        </w:rPr>
        <w:instrText xml:space="preserve"> ADDIN ZOTERO_BIBL {"uncited":[],"omitted":[],"custom":[]} CSL_BIBLIOGRAPHY </w:instrText>
      </w:r>
      <w:r>
        <w:rPr>
          <w:lang w:val="en-US"/>
        </w:rPr>
        <w:fldChar w:fldCharType="separate"/>
      </w:r>
      <w:r w:rsidR="001A2D6F" w:rsidRPr="001A2D6F">
        <w:rPr>
          <w:rFonts w:ascii="Aptos" w:hAnsi="Aptos"/>
          <w:lang w:val="en-US"/>
        </w:rPr>
        <w:t>1. World malaria report 2024 [Internet]. [cited 2025 Mar 28]. Available from: https://www.who.int/teams/global-malaria-programme/reports/world-malaria-report-2024</w:t>
      </w:r>
    </w:p>
    <w:p w14:paraId="220E9B1E" w14:textId="77777777" w:rsidR="001A2D6F" w:rsidRPr="001A2D6F" w:rsidRDefault="001A2D6F" w:rsidP="001A2D6F">
      <w:pPr>
        <w:pStyle w:val="Bibliography"/>
        <w:rPr>
          <w:rFonts w:ascii="Aptos" w:hAnsi="Aptos"/>
          <w:lang w:val="en-US"/>
        </w:rPr>
      </w:pPr>
      <w:r w:rsidRPr="001A2D6F">
        <w:rPr>
          <w:rFonts w:ascii="Aptos" w:hAnsi="Aptos"/>
          <w:lang w:val="en-US"/>
        </w:rPr>
        <w:t>2. World malaria report 2023 [Internet]. [cited 2024 Feb 23]. Available from: https://www.who.int/teams/global-malaria-programme/reports/world-malaria-report-2023</w:t>
      </w:r>
    </w:p>
    <w:p w14:paraId="256196BB" w14:textId="77777777" w:rsidR="001A2D6F" w:rsidRPr="001A2D6F" w:rsidRDefault="001A2D6F" w:rsidP="001A2D6F">
      <w:pPr>
        <w:pStyle w:val="Bibliography"/>
        <w:rPr>
          <w:rFonts w:ascii="Aptos" w:hAnsi="Aptos"/>
          <w:lang w:val="en-US"/>
        </w:rPr>
      </w:pPr>
      <w:r w:rsidRPr="001A2D6F">
        <w:rPr>
          <w:rFonts w:ascii="Aptos" w:hAnsi="Aptos"/>
          <w:lang w:val="en-US"/>
        </w:rPr>
        <w:lastRenderedPageBreak/>
        <w:t>3. Ghana Malaria Facts [Internet]. Sev. Malar. Obs. [cited 2024 Feb 23]. Available from: https://www.severemalaria.org/pays/ghana</w:t>
      </w:r>
    </w:p>
    <w:p w14:paraId="2BE04CB1" w14:textId="77777777" w:rsidR="001A2D6F" w:rsidRPr="001A2D6F" w:rsidRDefault="001A2D6F" w:rsidP="001A2D6F">
      <w:pPr>
        <w:pStyle w:val="Bibliography"/>
        <w:rPr>
          <w:rFonts w:ascii="Aptos" w:hAnsi="Aptos"/>
          <w:lang w:val="en-US"/>
        </w:rPr>
      </w:pPr>
      <w:r w:rsidRPr="001A2D6F">
        <w:rPr>
          <w:rFonts w:ascii="Aptos" w:hAnsi="Aptos"/>
          <w:lang w:val="en-US"/>
        </w:rPr>
        <w:t>4. Symons TL, Lubinda J, McPhail M, Saddler A, Berg M van den, Baggen H, et al. Estimating the potential malaria morbidity and mortality avertable by the President’s Malaria Initiative in 2025: a geospatial modelling analysis [Internet]. medRxiv; 2025 [cited 2025 Jun 7]. Available from: https://www.medrxiv.org/content/10.1101/2025.02.28.25323072v1</w:t>
      </w:r>
    </w:p>
    <w:p w14:paraId="56EAE416" w14:textId="77777777" w:rsidR="001A2D6F" w:rsidRPr="001A2D6F" w:rsidRDefault="001A2D6F" w:rsidP="001A2D6F">
      <w:pPr>
        <w:pStyle w:val="Bibliography"/>
        <w:rPr>
          <w:rFonts w:ascii="Aptos" w:hAnsi="Aptos"/>
          <w:lang w:val="en-US"/>
        </w:rPr>
      </w:pPr>
      <w:r w:rsidRPr="001A2D6F">
        <w:rPr>
          <w:rFonts w:ascii="Aptos" w:hAnsi="Aptos"/>
          <w:lang w:val="en-US"/>
        </w:rPr>
        <w:t xml:space="preserve">5. Runge M, Thawer SG, Molteni F, Chacky F, Mkude S, Mandike R, et al. Sub-national tailoring of malaria interventions in Mainland Tanzania: simulation of the impact of strata-specific intervention combinations using modelling. Malar J. 2022;21:92. </w:t>
      </w:r>
    </w:p>
    <w:p w14:paraId="0C3D0C44" w14:textId="77777777" w:rsidR="001A2D6F" w:rsidRPr="001A2D6F" w:rsidRDefault="001A2D6F" w:rsidP="001A2D6F">
      <w:pPr>
        <w:pStyle w:val="Bibliography"/>
        <w:rPr>
          <w:rFonts w:ascii="Aptos" w:hAnsi="Aptos"/>
          <w:lang w:val="en-US"/>
        </w:rPr>
      </w:pPr>
      <w:r w:rsidRPr="001A2D6F">
        <w:rPr>
          <w:rFonts w:ascii="Aptos" w:hAnsi="Aptos"/>
          <w:lang w:val="en-US"/>
        </w:rPr>
        <w:t xml:space="preserve">6. Awine T, Silal SP. Assessing the effectiveness of malaria interventions at the regional level in Ghana using a mathematical modelling application. Nacher M, editor. PLOS Glob Public Health. 2022;2:e0000474. </w:t>
      </w:r>
    </w:p>
    <w:p w14:paraId="1D0C523D" w14:textId="77777777" w:rsidR="001A2D6F" w:rsidRPr="001A2D6F" w:rsidRDefault="001A2D6F" w:rsidP="001A2D6F">
      <w:pPr>
        <w:pStyle w:val="Bibliography"/>
        <w:rPr>
          <w:rFonts w:ascii="Aptos" w:hAnsi="Aptos"/>
          <w:lang w:val="en-US"/>
        </w:rPr>
      </w:pPr>
      <w:r w:rsidRPr="001A2D6F">
        <w:rPr>
          <w:rFonts w:ascii="Aptos" w:hAnsi="Aptos"/>
          <w:lang w:val="en-US"/>
        </w:rPr>
        <w:t xml:space="preserve">7. Coleman S, Yihdego Y, Sherrard-Smith E, Thomas CS, Dengela D, Oxborough RM, et al. Partial indoor residual spraying with pirimiphos-methyl as an effective and cost-saving measure for the control of Anopheles gambiae s.l. in northern Ghana. Sci Rep. 2021;11:18055. </w:t>
      </w:r>
    </w:p>
    <w:p w14:paraId="7CBBB736" w14:textId="77777777" w:rsidR="001A2D6F" w:rsidRPr="001A2D6F" w:rsidRDefault="001A2D6F" w:rsidP="001A2D6F">
      <w:pPr>
        <w:pStyle w:val="Bibliography"/>
        <w:rPr>
          <w:rFonts w:ascii="Aptos" w:hAnsi="Aptos"/>
          <w:lang w:val="en-US"/>
        </w:rPr>
      </w:pPr>
      <w:r w:rsidRPr="001A2D6F">
        <w:rPr>
          <w:rFonts w:ascii="Aptos" w:hAnsi="Aptos"/>
          <w:lang w:val="en-US"/>
        </w:rPr>
        <w:t xml:space="preserve">8. Shretta R, Silal SP, Malm K, Mohammed W, Narh J, Piccinini D, et al. Estimating the risk of declining funding for malaria in Ghana: the case for continued investment in the malaria response. Malar J. 2020;19:196. </w:t>
      </w:r>
    </w:p>
    <w:p w14:paraId="487096A4" w14:textId="77777777" w:rsidR="001A2D6F" w:rsidRPr="001A2D6F" w:rsidRDefault="001A2D6F" w:rsidP="001A2D6F">
      <w:pPr>
        <w:pStyle w:val="Bibliography"/>
        <w:rPr>
          <w:rFonts w:ascii="Aptos" w:hAnsi="Aptos"/>
          <w:lang w:val="en-US"/>
        </w:rPr>
      </w:pPr>
      <w:r w:rsidRPr="001A2D6F">
        <w:rPr>
          <w:rFonts w:ascii="Aptos" w:hAnsi="Aptos"/>
          <w:lang w:val="en-US"/>
        </w:rPr>
        <w:t xml:space="preserve">9. Chitnis N, Hyman JM, Cushing JM. Determining important parameters in the spread of malaria through the sensitivity analysis of a mathematical model. Bull Math Biol. 2008;70:1272–96. </w:t>
      </w:r>
    </w:p>
    <w:p w14:paraId="224FED84" w14:textId="77777777" w:rsidR="001A2D6F" w:rsidRPr="001A2D6F" w:rsidRDefault="001A2D6F" w:rsidP="001A2D6F">
      <w:pPr>
        <w:pStyle w:val="Bibliography"/>
        <w:rPr>
          <w:rFonts w:ascii="Aptos" w:hAnsi="Aptos"/>
          <w:lang w:val="en-US"/>
        </w:rPr>
      </w:pPr>
      <w:r w:rsidRPr="001A2D6F">
        <w:rPr>
          <w:rFonts w:ascii="Aptos" w:hAnsi="Aptos"/>
          <w:lang w:val="en-US"/>
        </w:rPr>
        <w:t>10. Saltelli A. Global_Sensitivity_Analysis_The_Primer_Wiley_Interscience_2008_ [Internet]. Available from: A_Saltelli_Marco_Ratto_Terry_Andres_Francesca_Campolongo_Jessica_Cariboni_Debora_Gatelli_Michaela_Saisana_Stefano_Tarantola_Global_Sensitivity_Analysis_The_Primer_Wiley_Interscience_2008_</w:t>
      </w:r>
    </w:p>
    <w:p w14:paraId="6F57B5EB" w14:textId="77777777" w:rsidR="001A2D6F" w:rsidRPr="001A2D6F" w:rsidRDefault="001A2D6F" w:rsidP="001A2D6F">
      <w:pPr>
        <w:pStyle w:val="Bibliography"/>
        <w:rPr>
          <w:rFonts w:ascii="Aptos" w:hAnsi="Aptos"/>
          <w:lang w:val="en-US"/>
        </w:rPr>
      </w:pPr>
      <w:r w:rsidRPr="001A2D6F">
        <w:rPr>
          <w:rFonts w:ascii="Aptos" w:hAnsi="Aptos"/>
          <w:lang w:val="en-US"/>
        </w:rPr>
        <w:t xml:space="preserve">11. Golumbeanu M, Yang G-J, Camponovo F, Stuckey EM, Hamon N, Mondy M, et al. Leveraging mathematical models of disease dynamics and machine learning to improve development of novel malaria interventions. Infect Dis Poverty. 2022;11:61. </w:t>
      </w:r>
    </w:p>
    <w:p w14:paraId="12EAF7D4" w14:textId="77777777" w:rsidR="001A2D6F" w:rsidRPr="001A2D6F" w:rsidRDefault="001A2D6F" w:rsidP="001A2D6F">
      <w:pPr>
        <w:pStyle w:val="Bibliography"/>
        <w:rPr>
          <w:rFonts w:ascii="Aptos" w:hAnsi="Aptos"/>
          <w:lang w:val="en-US"/>
        </w:rPr>
      </w:pPr>
      <w:r w:rsidRPr="001A2D6F">
        <w:rPr>
          <w:rFonts w:ascii="Aptos" w:hAnsi="Aptos"/>
          <w:lang w:val="en-US"/>
        </w:rPr>
        <w:t>12. OpenMalaria Online wiki [Internet]. GitHub. [cited 2025 Apr 23]. Available from: https://github.com/SwissTPH/openmalaria/wiki/Home</w:t>
      </w:r>
    </w:p>
    <w:p w14:paraId="5B323271" w14:textId="77777777" w:rsidR="001A2D6F" w:rsidRPr="001A2D6F" w:rsidRDefault="001A2D6F" w:rsidP="001A2D6F">
      <w:pPr>
        <w:pStyle w:val="Bibliography"/>
        <w:rPr>
          <w:rFonts w:ascii="Aptos" w:hAnsi="Aptos"/>
          <w:lang w:val="en-US"/>
        </w:rPr>
      </w:pPr>
      <w:r w:rsidRPr="001A2D6F">
        <w:rPr>
          <w:rFonts w:ascii="Aptos" w:hAnsi="Aptos"/>
          <w:lang w:val="en-US"/>
        </w:rPr>
        <w:t>13. NMEP G. National Malaria Elimination Strategic Plan [Internet]. Available from: https://mesamalaria.org/resource-hub/national-malaria-elimination-strategic-plan-nmesp-of-ghana-2024-2028/</w:t>
      </w:r>
    </w:p>
    <w:p w14:paraId="2FC5FC42" w14:textId="77777777" w:rsidR="001A2D6F" w:rsidRPr="001A2D6F" w:rsidRDefault="001A2D6F" w:rsidP="001A2D6F">
      <w:pPr>
        <w:pStyle w:val="Bibliography"/>
        <w:rPr>
          <w:rFonts w:ascii="Aptos" w:hAnsi="Aptos"/>
          <w:lang w:val="en-US"/>
        </w:rPr>
      </w:pPr>
      <w:r w:rsidRPr="001A2D6F">
        <w:rPr>
          <w:rFonts w:ascii="Aptos" w:hAnsi="Aptos"/>
        </w:rPr>
        <w:t xml:space="preserve">14. C. E. Rasmussen, C. K. I. Williams. </w:t>
      </w:r>
      <w:r w:rsidRPr="001A2D6F">
        <w:rPr>
          <w:rFonts w:ascii="Aptos" w:hAnsi="Aptos"/>
          <w:lang w:val="en-US"/>
        </w:rPr>
        <w:t>Gaussian Process  for Machine Learning [Internet]. Available from: www.GaussianProcess.org/gpml</w:t>
      </w:r>
    </w:p>
    <w:p w14:paraId="596B3655" w14:textId="77777777" w:rsidR="001A2D6F" w:rsidRPr="001A2D6F" w:rsidRDefault="001A2D6F" w:rsidP="001A2D6F">
      <w:pPr>
        <w:pStyle w:val="Bibliography"/>
        <w:rPr>
          <w:rFonts w:ascii="Aptos" w:hAnsi="Aptos"/>
          <w:lang w:val="en-US"/>
        </w:rPr>
      </w:pPr>
      <w:r w:rsidRPr="001A2D6F">
        <w:rPr>
          <w:rFonts w:ascii="Aptos" w:hAnsi="Aptos"/>
          <w:lang w:val="en-US"/>
        </w:rPr>
        <w:t>15. Index of /web/packages/hetGP/vignettes [Internet]. [cited 2025 May 5]. Available from: https://cran.r-project.org/web/packages/hetGP/vignettes/</w:t>
      </w:r>
    </w:p>
    <w:p w14:paraId="01104A3A" w14:textId="77777777" w:rsidR="001A2D6F" w:rsidRPr="001A2D6F" w:rsidRDefault="001A2D6F" w:rsidP="001A2D6F">
      <w:pPr>
        <w:pStyle w:val="Bibliography"/>
        <w:rPr>
          <w:rFonts w:ascii="Aptos" w:hAnsi="Aptos"/>
          <w:lang w:val="en-US"/>
        </w:rPr>
      </w:pPr>
      <w:r w:rsidRPr="001A2D6F">
        <w:rPr>
          <w:rFonts w:ascii="Aptos" w:hAnsi="Aptos"/>
          <w:lang w:val="en-US"/>
        </w:rPr>
        <w:t xml:space="preserve">16. Sobol, I.M. (1993) Sensitivity Estimates for Nonlinear Mathematical Models. Mathematical Modelling and Computational Experiments, 4, 407-414. - References - Scientific Research </w:t>
      </w:r>
      <w:r w:rsidRPr="001A2D6F">
        <w:rPr>
          <w:rFonts w:ascii="Aptos" w:hAnsi="Aptos"/>
          <w:lang w:val="en-US"/>
        </w:rPr>
        <w:lastRenderedPageBreak/>
        <w:t>Publishing [Internet]. [cited 2024 Jul 10]. Available from: https://www.scirp.org/reference/referencespapers?referenceid=2692473</w:t>
      </w:r>
    </w:p>
    <w:p w14:paraId="68FC4366" w14:textId="77777777" w:rsidR="001A2D6F" w:rsidRPr="001A2D6F" w:rsidRDefault="001A2D6F" w:rsidP="001A2D6F">
      <w:pPr>
        <w:pStyle w:val="Bibliography"/>
        <w:rPr>
          <w:rFonts w:ascii="Aptos" w:hAnsi="Aptos"/>
          <w:lang w:val="en-US"/>
        </w:rPr>
      </w:pPr>
      <w:r w:rsidRPr="001A2D6F">
        <w:rPr>
          <w:rFonts w:ascii="Aptos" w:hAnsi="Aptos"/>
          <w:lang w:val="en-US"/>
        </w:rPr>
        <w:t>17. Iooss B, Veiga SD, Janon A, Pujol G. sensitivity: Global Sensitivity Analysis of Model Outputs and Importance Measures [Internet]. 2024 [cited 2025 May 5]. Available from: https://cran.r-project.org/web/packages/sensitivity/index.html</w:t>
      </w:r>
    </w:p>
    <w:p w14:paraId="770F2CD6" w14:textId="4AE3F8DA" w:rsidR="009924E9" w:rsidRPr="009924E9" w:rsidRDefault="009924E9" w:rsidP="009924E9">
      <w:pPr>
        <w:rPr>
          <w:lang w:val="en-US"/>
        </w:rPr>
      </w:pPr>
      <w:r>
        <w:rPr>
          <w:lang w:val="en-US"/>
        </w:rPr>
        <w:fldChar w:fldCharType="end"/>
      </w:r>
    </w:p>
    <w:p w14:paraId="0287D6D6" w14:textId="77777777" w:rsidR="00D46493" w:rsidRPr="007D0172" w:rsidRDefault="00D46493" w:rsidP="007D0172">
      <w:pPr>
        <w:spacing w:line="360" w:lineRule="auto"/>
        <w:rPr>
          <w:rFonts w:ascii="Times New Roman" w:hAnsi="Times New Roman" w:cs="Times New Roman"/>
          <w:bCs/>
          <w:sz w:val="24"/>
          <w:szCs w:val="24"/>
          <w:lang w:val="en-CH"/>
        </w:rPr>
      </w:pPr>
    </w:p>
    <w:sectPr w:rsidR="00D46493" w:rsidRPr="007D01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Math">
    <w:altName w:val="MS Gothic"/>
    <w:panose1 w:val="00000000000000000000"/>
    <w:charset w:val="80"/>
    <w:family w:val="auto"/>
    <w:notTrueType/>
    <w:pitch w:val="default"/>
    <w:sig w:usb0="00000003" w:usb1="08070000" w:usb2="00000010"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01BE2"/>
    <w:multiLevelType w:val="multilevel"/>
    <w:tmpl w:val="53929F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F12B91"/>
    <w:multiLevelType w:val="multilevel"/>
    <w:tmpl w:val="0B9A8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3481792"/>
    <w:multiLevelType w:val="multilevel"/>
    <w:tmpl w:val="0448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FA0819"/>
    <w:multiLevelType w:val="multilevel"/>
    <w:tmpl w:val="A6A0E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6348544">
    <w:abstractNumId w:val="3"/>
  </w:num>
  <w:num w:numId="2" w16cid:durableId="676545375">
    <w:abstractNumId w:val="2"/>
  </w:num>
  <w:num w:numId="3" w16cid:durableId="77944038">
    <w:abstractNumId w:val="1"/>
  </w:num>
  <w:num w:numId="4" w16cid:durableId="1795782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AB3"/>
    <w:rsid w:val="0008121A"/>
    <w:rsid w:val="00150886"/>
    <w:rsid w:val="001A2D6F"/>
    <w:rsid w:val="001C004A"/>
    <w:rsid w:val="001F0254"/>
    <w:rsid w:val="00226299"/>
    <w:rsid w:val="00270B27"/>
    <w:rsid w:val="00270CCD"/>
    <w:rsid w:val="002A0AB3"/>
    <w:rsid w:val="00330E61"/>
    <w:rsid w:val="0038367E"/>
    <w:rsid w:val="00386A08"/>
    <w:rsid w:val="0044396D"/>
    <w:rsid w:val="00566FAA"/>
    <w:rsid w:val="00567462"/>
    <w:rsid w:val="00570F47"/>
    <w:rsid w:val="005729DC"/>
    <w:rsid w:val="00585215"/>
    <w:rsid w:val="00585369"/>
    <w:rsid w:val="0059494B"/>
    <w:rsid w:val="005C5DDA"/>
    <w:rsid w:val="00651F34"/>
    <w:rsid w:val="0075549C"/>
    <w:rsid w:val="007D0172"/>
    <w:rsid w:val="00811982"/>
    <w:rsid w:val="00843850"/>
    <w:rsid w:val="00876791"/>
    <w:rsid w:val="008821A5"/>
    <w:rsid w:val="008D05DD"/>
    <w:rsid w:val="00901D5E"/>
    <w:rsid w:val="00911731"/>
    <w:rsid w:val="0098071A"/>
    <w:rsid w:val="00991AA4"/>
    <w:rsid w:val="00991CDD"/>
    <w:rsid w:val="009924E9"/>
    <w:rsid w:val="00993CF1"/>
    <w:rsid w:val="009E5A6D"/>
    <w:rsid w:val="009F334C"/>
    <w:rsid w:val="00A75533"/>
    <w:rsid w:val="00AA1FFB"/>
    <w:rsid w:val="00CC5D7A"/>
    <w:rsid w:val="00D46493"/>
    <w:rsid w:val="00D76A57"/>
    <w:rsid w:val="00D8230D"/>
    <w:rsid w:val="00D97A92"/>
    <w:rsid w:val="00E73973"/>
    <w:rsid w:val="00EE2605"/>
    <w:rsid w:val="00F36BC0"/>
    <w:rsid w:val="00F63B02"/>
    <w:rsid w:val="00FC5165"/>
    <w:rsid w:val="00FE6F3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AF290"/>
  <w15:chartTrackingRefBased/>
  <w15:docId w15:val="{A552A3AE-B6A3-4D08-AE37-99711DEBE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AB3"/>
    <w:pPr>
      <w:spacing w:line="259" w:lineRule="auto"/>
    </w:pPr>
    <w:rPr>
      <w:kern w:val="0"/>
      <w:sz w:val="22"/>
      <w:szCs w:val="22"/>
      <w:lang w:val="de-CH"/>
      <w14:ligatures w14:val="none"/>
    </w:rPr>
  </w:style>
  <w:style w:type="paragraph" w:styleId="Heading1">
    <w:name w:val="heading 1"/>
    <w:basedOn w:val="Normal"/>
    <w:next w:val="Normal"/>
    <w:link w:val="Heading1Char"/>
    <w:uiPriority w:val="9"/>
    <w:qFormat/>
    <w:rsid w:val="002A0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0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0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AB3"/>
    <w:rPr>
      <w:rFonts w:eastAsiaTheme="majorEastAsia" w:cstheme="majorBidi"/>
      <w:color w:val="272727" w:themeColor="text1" w:themeTint="D8"/>
    </w:rPr>
  </w:style>
  <w:style w:type="paragraph" w:styleId="Title">
    <w:name w:val="Title"/>
    <w:basedOn w:val="Normal"/>
    <w:next w:val="Normal"/>
    <w:link w:val="TitleChar"/>
    <w:uiPriority w:val="10"/>
    <w:qFormat/>
    <w:rsid w:val="002A0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AB3"/>
    <w:pPr>
      <w:spacing w:before="160"/>
      <w:jc w:val="center"/>
    </w:pPr>
    <w:rPr>
      <w:i/>
      <w:iCs/>
      <w:color w:val="404040" w:themeColor="text1" w:themeTint="BF"/>
    </w:rPr>
  </w:style>
  <w:style w:type="character" w:customStyle="1" w:styleId="QuoteChar">
    <w:name w:val="Quote Char"/>
    <w:basedOn w:val="DefaultParagraphFont"/>
    <w:link w:val="Quote"/>
    <w:uiPriority w:val="29"/>
    <w:rsid w:val="002A0AB3"/>
    <w:rPr>
      <w:i/>
      <w:iCs/>
      <w:color w:val="404040" w:themeColor="text1" w:themeTint="BF"/>
    </w:rPr>
  </w:style>
  <w:style w:type="paragraph" w:styleId="ListParagraph">
    <w:name w:val="List Paragraph"/>
    <w:basedOn w:val="Normal"/>
    <w:uiPriority w:val="34"/>
    <w:qFormat/>
    <w:rsid w:val="002A0AB3"/>
    <w:pPr>
      <w:ind w:left="720"/>
      <w:contextualSpacing/>
    </w:pPr>
  </w:style>
  <w:style w:type="character" w:styleId="IntenseEmphasis">
    <w:name w:val="Intense Emphasis"/>
    <w:basedOn w:val="DefaultParagraphFont"/>
    <w:uiPriority w:val="21"/>
    <w:qFormat/>
    <w:rsid w:val="002A0AB3"/>
    <w:rPr>
      <w:i/>
      <w:iCs/>
      <w:color w:val="0F4761" w:themeColor="accent1" w:themeShade="BF"/>
    </w:rPr>
  </w:style>
  <w:style w:type="paragraph" w:styleId="IntenseQuote">
    <w:name w:val="Intense Quote"/>
    <w:basedOn w:val="Normal"/>
    <w:next w:val="Normal"/>
    <w:link w:val="IntenseQuoteChar"/>
    <w:uiPriority w:val="30"/>
    <w:qFormat/>
    <w:rsid w:val="002A0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AB3"/>
    <w:rPr>
      <w:i/>
      <w:iCs/>
      <w:color w:val="0F4761" w:themeColor="accent1" w:themeShade="BF"/>
    </w:rPr>
  </w:style>
  <w:style w:type="character" w:styleId="IntenseReference">
    <w:name w:val="Intense Reference"/>
    <w:basedOn w:val="DefaultParagraphFont"/>
    <w:uiPriority w:val="32"/>
    <w:qFormat/>
    <w:rsid w:val="002A0AB3"/>
    <w:rPr>
      <w:b/>
      <w:bCs/>
      <w:smallCaps/>
      <w:color w:val="0F4761" w:themeColor="accent1" w:themeShade="BF"/>
      <w:spacing w:val="5"/>
    </w:rPr>
  </w:style>
  <w:style w:type="character" w:styleId="CommentReference">
    <w:name w:val="annotation reference"/>
    <w:basedOn w:val="DefaultParagraphFont"/>
    <w:uiPriority w:val="99"/>
    <w:semiHidden/>
    <w:unhideWhenUsed/>
    <w:rsid w:val="002A0AB3"/>
    <w:rPr>
      <w:sz w:val="16"/>
      <w:szCs w:val="16"/>
    </w:rPr>
  </w:style>
  <w:style w:type="paragraph" w:styleId="NormalWeb">
    <w:name w:val="Normal (Web)"/>
    <w:basedOn w:val="Normal"/>
    <w:uiPriority w:val="99"/>
    <w:unhideWhenUsed/>
    <w:rsid w:val="0098071A"/>
    <w:pPr>
      <w:spacing w:before="100" w:beforeAutospacing="1" w:after="100" w:afterAutospacing="1" w:line="240" w:lineRule="auto"/>
    </w:pPr>
    <w:rPr>
      <w:rFonts w:ascii="Times New Roman" w:eastAsia="Times New Roman" w:hAnsi="Times New Roman" w:cs="Times New Roman"/>
      <w:sz w:val="24"/>
      <w:szCs w:val="24"/>
      <w:lang w:val="en-CH" w:eastAsia="en-CH"/>
    </w:rPr>
  </w:style>
  <w:style w:type="character" w:styleId="Strong">
    <w:name w:val="Strong"/>
    <w:basedOn w:val="DefaultParagraphFont"/>
    <w:uiPriority w:val="22"/>
    <w:qFormat/>
    <w:rsid w:val="0098071A"/>
    <w:rPr>
      <w:b/>
      <w:bCs/>
    </w:rPr>
  </w:style>
  <w:style w:type="character" w:styleId="Emphasis">
    <w:name w:val="Emphasis"/>
    <w:basedOn w:val="DefaultParagraphFont"/>
    <w:uiPriority w:val="20"/>
    <w:qFormat/>
    <w:rsid w:val="0059494B"/>
    <w:rPr>
      <w:i/>
      <w:iCs/>
    </w:rPr>
  </w:style>
  <w:style w:type="paragraph" w:styleId="Bibliography">
    <w:name w:val="Bibliography"/>
    <w:basedOn w:val="Normal"/>
    <w:next w:val="Normal"/>
    <w:uiPriority w:val="37"/>
    <w:unhideWhenUsed/>
    <w:rsid w:val="009924E9"/>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74217">
      <w:bodyDiv w:val="1"/>
      <w:marLeft w:val="0"/>
      <w:marRight w:val="0"/>
      <w:marTop w:val="0"/>
      <w:marBottom w:val="0"/>
      <w:divBdr>
        <w:top w:val="none" w:sz="0" w:space="0" w:color="auto"/>
        <w:left w:val="none" w:sz="0" w:space="0" w:color="auto"/>
        <w:bottom w:val="none" w:sz="0" w:space="0" w:color="auto"/>
        <w:right w:val="none" w:sz="0" w:space="0" w:color="auto"/>
      </w:divBdr>
    </w:div>
    <w:div w:id="419251430">
      <w:bodyDiv w:val="1"/>
      <w:marLeft w:val="0"/>
      <w:marRight w:val="0"/>
      <w:marTop w:val="0"/>
      <w:marBottom w:val="0"/>
      <w:divBdr>
        <w:top w:val="none" w:sz="0" w:space="0" w:color="auto"/>
        <w:left w:val="none" w:sz="0" w:space="0" w:color="auto"/>
        <w:bottom w:val="none" w:sz="0" w:space="0" w:color="auto"/>
        <w:right w:val="none" w:sz="0" w:space="0" w:color="auto"/>
      </w:divBdr>
    </w:div>
    <w:div w:id="762190728">
      <w:bodyDiv w:val="1"/>
      <w:marLeft w:val="0"/>
      <w:marRight w:val="0"/>
      <w:marTop w:val="0"/>
      <w:marBottom w:val="0"/>
      <w:divBdr>
        <w:top w:val="none" w:sz="0" w:space="0" w:color="auto"/>
        <w:left w:val="none" w:sz="0" w:space="0" w:color="auto"/>
        <w:bottom w:val="none" w:sz="0" w:space="0" w:color="auto"/>
        <w:right w:val="none" w:sz="0" w:space="0" w:color="auto"/>
      </w:divBdr>
    </w:div>
    <w:div w:id="1019430156">
      <w:bodyDiv w:val="1"/>
      <w:marLeft w:val="0"/>
      <w:marRight w:val="0"/>
      <w:marTop w:val="0"/>
      <w:marBottom w:val="0"/>
      <w:divBdr>
        <w:top w:val="none" w:sz="0" w:space="0" w:color="auto"/>
        <w:left w:val="none" w:sz="0" w:space="0" w:color="auto"/>
        <w:bottom w:val="none" w:sz="0" w:space="0" w:color="auto"/>
        <w:right w:val="none" w:sz="0" w:space="0" w:color="auto"/>
      </w:divBdr>
    </w:div>
    <w:div w:id="1153107592">
      <w:bodyDiv w:val="1"/>
      <w:marLeft w:val="0"/>
      <w:marRight w:val="0"/>
      <w:marTop w:val="0"/>
      <w:marBottom w:val="0"/>
      <w:divBdr>
        <w:top w:val="none" w:sz="0" w:space="0" w:color="auto"/>
        <w:left w:val="none" w:sz="0" w:space="0" w:color="auto"/>
        <w:bottom w:val="none" w:sz="0" w:space="0" w:color="auto"/>
        <w:right w:val="none" w:sz="0" w:space="0" w:color="auto"/>
      </w:divBdr>
    </w:div>
    <w:div w:id="1323464415">
      <w:bodyDiv w:val="1"/>
      <w:marLeft w:val="0"/>
      <w:marRight w:val="0"/>
      <w:marTop w:val="0"/>
      <w:marBottom w:val="0"/>
      <w:divBdr>
        <w:top w:val="none" w:sz="0" w:space="0" w:color="auto"/>
        <w:left w:val="none" w:sz="0" w:space="0" w:color="auto"/>
        <w:bottom w:val="none" w:sz="0" w:space="0" w:color="auto"/>
        <w:right w:val="none" w:sz="0" w:space="0" w:color="auto"/>
      </w:divBdr>
    </w:div>
    <w:div w:id="1959605498">
      <w:bodyDiv w:val="1"/>
      <w:marLeft w:val="0"/>
      <w:marRight w:val="0"/>
      <w:marTop w:val="0"/>
      <w:marBottom w:val="0"/>
      <w:divBdr>
        <w:top w:val="none" w:sz="0" w:space="0" w:color="auto"/>
        <w:left w:val="none" w:sz="0" w:space="0" w:color="auto"/>
        <w:bottom w:val="none" w:sz="0" w:space="0" w:color="auto"/>
        <w:right w:val="none" w:sz="0" w:space="0" w:color="auto"/>
      </w:divBdr>
    </w:div>
    <w:div w:id="2141921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8AAC8-111E-44D8-BBF3-18D853893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9519</Words>
  <Characters>54259</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10</cp:revision>
  <dcterms:created xsi:type="dcterms:W3CDTF">2025-06-03T09:44:00Z</dcterms:created>
  <dcterms:modified xsi:type="dcterms:W3CDTF">2025-06-11T07:15:00Z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id="z3BtITMO"/&gt;&lt;style id="http://www.zotero.org/styles/malaria-journal"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