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MSc DATA SCIENCE</w:t>
      </w:r>
    </w:p>
    <w:p w:rsidR="00000000" w:rsidDel="00000000" w:rsidP="00000000" w:rsidRDefault="00000000" w:rsidRPr="00000000" w14:paraId="00000003">
      <w:pPr>
        <w:spacing w:after="120" w:before="12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ST498 – Capstone Project proposal</w:t>
      </w:r>
    </w:p>
    <w:p w:rsidR="00000000" w:rsidDel="00000000" w:rsidP="00000000" w:rsidRDefault="00000000" w:rsidRPr="00000000" w14:paraId="00000004">
      <w:pPr>
        <w:spacing w:after="120" w:befor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Project title: </w:t>
      </w:r>
      <w:r w:rsidDel="00000000" w:rsidR="00000000" w:rsidRPr="00000000">
        <w:rPr>
          <w:b w:val="1"/>
          <w:rtl w:val="0"/>
        </w:rPr>
        <w:t xml:space="preserve">Data-driven approaches for legacy analysis and prospection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Name of contact person: Nigel Danby</w:t>
      </w:r>
    </w:p>
    <w:p w:rsidR="00000000" w:rsidDel="00000000" w:rsidP="00000000" w:rsidRDefault="00000000" w:rsidRPr="00000000" w14:paraId="00000007">
      <w:pPr>
        <w:spacing w:after="120"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Affiliation / Company: Data Manager, PAGE, London School of Economics and Political Science</w:t>
      </w:r>
    </w:p>
    <w:p w:rsidR="00000000" w:rsidDel="00000000" w:rsidP="00000000" w:rsidRDefault="00000000" w:rsidRPr="00000000" w14:paraId="00000008">
      <w:pPr>
        <w:spacing w:after="120"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Email address: n.danby@lse.ac.uk</w:t>
      </w:r>
    </w:p>
    <w:p w:rsidR="00000000" w:rsidDel="00000000" w:rsidP="00000000" w:rsidRDefault="00000000" w:rsidRPr="00000000" w14:paraId="00000009">
      <w:pPr>
        <w:spacing w:after="120" w:before="12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Project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LSE’s Philanthropy and Global Engagement division (PAGE) has a growing legacy marketing programme, which takes prospective donors from initial enquiry about leaving a legacy to the School, to a firm pledge to leave a legacy. </w:t>
      </w:r>
    </w:p>
    <w:p w:rsidR="00000000" w:rsidDel="00000000" w:rsidP="00000000" w:rsidRDefault="00000000" w:rsidRPr="00000000" w14:paraId="0000000C">
      <w:pPr>
        <w:spacing w:after="120" w:before="12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legacy giving to the School grows in both financial terms, and as a strategic priority, PAGE needs actionable insight: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its current legacy prospects, and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identify the best legacy prospects so that legacy marketing spend realises the best return on investment. </w:t>
      </w:r>
    </w:p>
    <w:p w:rsidR="00000000" w:rsidDel="00000000" w:rsidP="00000000" w:rsidRDefault="00000000" w:rsidRPr="00000000" w14:paraId="0000000F">
      <w:pPr>
        <w:spacing w:after="120" w:before="12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Research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key characteristics of prospects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legacy pipeline as a whole?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each stage of the legacy pipeline?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legacy prospects differ from the rest of the alumni population?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PAGE take a data-driven approach to identifying the best legacy prospects? </w:t>
      </w:r>
    </w:p>
    <w:p w:rsidR="00000000" w:rsidDel="00000000" w:rsidP="00000000" w:rsidRDefault="00000000" w:rsidRPr="00000000" w14:paraId="00000015">
      <w:pPr>
        <w:spacing w:after="120" w:before="12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Project objectives and milestones:</w:t>
      </w:r>
    </w:p>
    <w:p w:rsidR="00000000" w:rsidDel="00000000" w:rsidP="00000000" w:rsidRDefault="00000000" w:rsidRPr="00000000" w14:paraId="00000016">
      <w:pPr>
        <w:spacing w:after="120" w:before="12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Milestone 1 Objectives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 statistics of the legacy pipeline as a whole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 statistics for each stage of the legacy pipeline</w:t>
      </w:r>
    </w:p>
    <w:p w:rsidR="00000000" w:rsidDel="00000000" w:rsidP="00000000" w:rsidRDefault="00000000" w:rsidRPr="00000000" w14:paraId="00000019">
      <w:pPr>
        <w:spacing w:after="120" w:before="12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Milestone 2 Objectives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of key variables against the general alumni population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Statistical modelling. This could include: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Predictive models such as logistic regression or CHAID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 analysis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 analysis</w:t>
      </w:r>
    </w:p>
    <w:p w:rsidR="00000000" w:rsidDel="00000000" w:rsidP="00000000" w:rsidRDefault="00000000" w:rsidRPr="00000000" w14:paraId="0000001F">
      <w:pPr>
        <w:spacing w:after="120" w:before="12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Your choice of techniques should be informed by the requirements of Milestones 3 &amp; 4. </w:t>
      </w:r>
    </w:p>
    <w:p w:rsidR="00000000" w:rsidDel="00000000" w:rsidP="00000000" w:rsidRDefault="00000000" w:rsidRPr="00000000" w14:paraId="00000020">
      <w:pPr>
        <w:spacing w:after="120" w:before="12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Milestone 3 Objectives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report setting out key findings and recommendations geared to a non-technical, non-specialist audience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twenty-minute presentation to PAGE stakeholders, setting out key findings and recommendations</w:t>
      </w:r>
    </w:p>
    <w:p w:rsidR="00000000" w:rsidDel="00000000" w:rsidP="00000000" w:rsidRDefault="00000000" w:rsidRPr="00000000" w14:paraId="00000025">
      <w:pPr>
        <w:spacing w:after="120" w:before="12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Milestone 4 Objectives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Handover. This w</w:t>
      </w:r>
      <w:r w:rsidDel="00000000" w:rsidR="00000000" w:rsidRPr="00000000">
        <w:rPr>
          <w:rtl w:val="0"/>
        </w:rPr>
        <w:t xml:space="preserve">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be iterative with at least one </w:t>
      </w:r>
      <w:r w:rsidDel="00000000" w:rsidR="00000000" w:rsidRPr="00000000">
        <w:rPr>
          <w:rtl w:val="0"/>
        </w:rPr>
        <w:t xml:space="preserve">30-minute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meeting and follow-up communications.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Handover of code to PAGE technical stakeholders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Recommendations for data enhancement</w:t>
      </w:r>
    </w:p>
    <w:p w:rsidR="00000000" w:rsidDel="00000000" w:rsidP="00000000" w:rsidRDefault="00000000" w:rsidRPr="00000000" w14:paraId="00000029">
      <w:pPr>
        <w:spacing w:after="120" w:before="120" w:lineRule="auto"/>
        <w:ind w:left="108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PAGE will provide anonymised real data, subject to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provision of a signed confidentiality agreement.  </w:t>
      </w:r>
    </w:p>
    <w:p w:rsidR="00000000" w:rsidDel="00000000" w:rsidP="00000000" w:rsidRDefault="00000000" w:rsidRPr="00000000" w14:paraId="0000002B">
      <w:pPr>
        <w:spacing w:after="120" w:before="12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 have no preferred model or approach. The focus is on providing actionable insight, which should drive project methodologies and deliverables. </w:t>
      </w:r>
    </w:p>
    <w:p w:rsidR="00000000" w:rsidDel="00000000" w:rsidP="00000000" w:rsidRDefault="00000000" w:rsidRPr="00000000" w14:paraId="0000002C">
      <w:pPr>
        <w:spacing w:after="120" w:before="12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12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References</w:t>
      </w:r>
    </w:p>
    <w:p w:rsidR="00000000" w:rsidDel="00000000" w:rsidP="00000000" w:rsidRDefault="00000000" w:rsidRPr="00000000" w14:paraId="0000002E">
      <w:pPr>
        <w:spacing w:after="120" w:before="12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Provide a list of indicative </w:t>
      </w:r>
      <w:r w:rsidDel="00000000" w:rsidR="00000000" w:rsidRPr="00000000">
        <w:rPr>
          <w:rtl w:val="0"/>
        </w:rPr>
        <w:t xml:space="preserve">readings/sites</w:t>
      </w:r>
      <w:r w:rsidDel="00000000" w:rsidR="00000000" w:rsidRPr="00000000">
        <w:rPr>
          <w:color w:val="000000"/>
          <w:rtl w:val="0"/>
        </w:rPr>
        <w:t xml:space="preserve"> etc</w:t>
      </w:r>
    </w:p>
    <w:p w:rsidR="00000000" w:rsidDel="00000000" w:rsidP="00000000" w:rsidRDefault="00000000" w:rsidRPr="00000000" w14:paraId="0000002F">
      <w:pPr>
        <w:spacing w:after="120" w:before="120" w:lineRule="auto"/>
        <w:jc w:val="both"/>
        <w:rPr>
          <w:color w:val="000000"/>
        </w:rPr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https://www.lse.ac.uk/supporting-lse/legacy-giving</w:t>
        </w:r>
      </w:hyperlink>
      <w:r w:rsidDel="00000000" w:rsidR="00000000" w:rsidRPr="00000000">
        <w:rPr>
          <w:color w:val="000000"/>
          <w:rtl w:val="0"/>
        </w:rPr>
        <w:t xml:space="preserve"> Public-facing LSE legacy giving website</w:t>
      </w:r>
    </w:p>
    <w:p w:rsidR="00000000" w:rsidDel="00000000" w:rsidP="00000000" w:rsidRDefault="00000000" w:rsidRPr="00000000" w14:paraId="00000030">
      <w:pPr>
        <w:spacing w:after="120" w:before="120" w:lineRule="auto"/>
        <w:jc w:val="both"/>
        <w:rPr>
          <w:color w:val="000000"/>
        </w:rPr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https://www.legacyfutures.com/resources/data-dashboard/</w:t>
        </w:r>
      </w:hyperlink>
      <w:r w:rsidDel="00000000" w:rsidR="00000000" w:rsidRPr="00000000">
        <w:rPr>
          <w:color w:val="000000"/>
          <w:rtl w:val="0"/>
        </w:rPr>
        <w:t xml:space="preserve"> Provides context for the current state of the UK legacy giving market. The website also contains other useful resources. </w:t>
      </w:r>
    </w:p>
    <w:p w:rsidR="00000000" w:rsidDel="00000000" w:rsidP="00000000" w:rsidRDefault="00000000" w:rsidRPr="00000000" w14:paraId="00000031">
      <w:pPr>
        <w:spacing w:after="120" w:before="12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 Students can work with toy datasets (publicly available) or create some synthetic dataset to mimic the partner’s real/target dataset. It is also possible to agree on some technology transfer, so students can develop/test models using toy/synthetic data and then transfer the code to the partner for testing with real datasets and production sandboxes. NDA and other collaboration agreement documents can be signed if necessary.</w:t>
      </w:r>
    </w:p>
    <w:p w:rsidR="00000000" w:rsidDel="00000000" w:rsidP="00000000" w:rsidRDefault="00000000" w:rsidRPr="00000000" w14:paraId="00000034">
      <w:pPr>
        <w:spacing w:after="120" w:before="12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Useful websites</w:t>
      </w:r>
    </w:p>
    <w:p w:rsidR="00000000" w:rsidDel="00000000" w:rsidP="00000000" w:rsidRDefault="00000000" w:rsidRPr="00000000" w14:paraId="00000036">
      <w:pPr>
        <w:spacing w:after="120" w:before="120" w:lineRule="auto"/>
        <w:jc w:val="both"/>
        <w:rPr>
          <w:color w:val="000000"/>
        </w:rPr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LSE Department of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Rule="auto"/>
        <w:jc w:val="both"/>
        <w:rPr>
          <w:color w:val="000000"/>
        </w:rPr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MSc Data Science programme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Rule="auto"/>
        <w:jc w:val="both"/>
        <w:rPr>
          <w:color w:val="000000"/>
        </w:rPr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Capstone project course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Rule="auto"/>
        <w:jc w:val="both"/>
        <w:rPr>
          <w:color w:val="000000"/>
        </w:rPr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LSE intellectual property policy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24000" cy="520700"/>
          <wp:effectExtent b="0" l="0" r="0" t="0"/>
          <wp:docPr descr="Graphical user interface, text&#10;&#10;Description automatically generated with medium confidence" id="2" name="image1.jpg"/>
          <a:graphic>
            <a:graphicData uri="http://schemas.openxmlformats.org/drawingml/2006/picture">
              <pic:pic>
                <pic:nvPicPr>
                  <pic:cNvPr descr="Graphical user interface, text&#10;&#10;Description automatically generated with medium confidence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0" cy="520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BD68DD"/>
    <w:pPr>
      <w:spacing w:line="276" w:lineRule="auto"/>
    </w:pPr>
    <w:rPr>
      <w:rFonts w:ascii="Arial" w:cs="Arial" w:eastAsia="Arial" w:hAnsi="Arial"/>
      <w:color w:val="000000"/>
      <w:sz w:val="22"/>
      <w:szCs w:val="22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noteText">
    <w:name w:val="footnote text"/>
    <w:basedOn w:val="Normal"/>
    <w:link w:val="FootnoteTextChar"/>
    <w:uiPriority w:val="99"/>
    <w:unhideWhenUsed w:val="1"/>
    <w:rsid w:val="00BD68DD"/>
    <w:pPr>
      <w:spacing w:line="240" w:lineRule="auto"/>
    </w:pPr>
    <w:rPr>
      <w:sz w:val="24"/>
      <w:szCs w:val="24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BD68DD"/>
    <w:rPr>
      <w:rFonts w:ascii="Arial" w:cs="Arial" w:eastAsia="Arial" w:hAnsi="Arial"/>
      <w:color w:val="000000"/>
      <w:lang w:val="en-US"/>
    </w:rPr>
  </w:style>
  <w:style w:type="character" w:styleId="FootnoteReference">
    <w:name w:val="footnote reference"/>
    <w:basedOn w:val="DefaultParagraphFont"/>
    <w:uiPriority w:val="99"/>
    <w:unhideWhenUsed w:val="1"/>
    <w:rsid w:val="00BD68D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 w:val="1"/>
    <w:rsid w:val="00BD68DD"/>
    <w:pPr>
      <w:tabs>
        <w:tab w:val="center" w:pos="4252"/>
        <w:tab w:val="right" w:pos="8504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D68DD"/>
    <w:rPr>
      <w:rFonts w:ascii="Arial" w:cs="Arial" w:eastAsia="Arial" w:hAnsi="Arial"/>
      <w:color w:val="000000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BD68DD"/>
    <w:pPr>
      <w:tabs>
        <w:tab w:val="center" w:pos="4252"/>
        <w:tab w:val="right" w:pos="8504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D68DD"/>
    <w:rPr>
      <w:rFonts w:ascii="Arial" w:cs="Arial" w:eastAsia="Arial" w:hAnsi="Arial"/>
      <w:color w:val="000000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 w:val="1"/>
    <w:rsid w:val="00DE651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B1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B1D9B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A083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se.ac.uk/resources/calendar/courseGuides/ST/2021_ST498.htm" TargetMode="External"/><Relationship Id="rId10" Type="http://schemas.openxmlformats.org/officeDocument/2006/relationships/hyperlink" Target="https://www.lse.ac.uk/study-at-lse/Graduate/degree-programmes-2021/MSc-Data-Science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info.lse.ac.uk/staff/services/Policies-and-procedures/Assets/Documents/IntProPol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se.ac.uk/statistic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se.ac.uk/supporting-lse/legacy-giving" TargetMode="External"/><Relationship Id="rId8" Type="http://schemas.openxmlformats.org/officeDocument/2006/relationships/hyperlink" Target="https://www.legacyfutures.com/resources/data-dashboar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l6y2kiPvYWxVDJ/qbvsplFRiQA==">CgMxLjA4AHIhMXN1UUotVThyM2JGQ3NKRmt4b3hfcXFZUEczZ1JZMVlY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2024-10-08T09:37:00Z</dcterms:created>
  <dc:creator>Aleksandar Matic</dc:creator>
</cp:coreProperties>
</file>