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56DB" w:val="clear"/>
        <w:spacing w:after="0" w:before="120"/>
        <w:jc w:val="center"/>
      </w:pPr>
      <w:r>
        <w:rPr>
          <w:rFonts w:ascii="Arial" w:cs="Arial" w:eastAsia="Arial" w:hAnsi="Arial"/>
          <w:b/>
          <w:bCs/>
          <w:color w:val="FFFFFF"/>
          <w:sz w:val="48"/>
          <w:szCs w:val="48"/>
        </w:rPr>
        <w:t xml:space="preserve">INEXDATA</w:t>
      </w:r>
    </w:p>
    <w:p>
      <w:pPr>
        <w:shd w:fill="1A56DB" w:val="clear"/>
        <w:spacing w:after="120" w:before="0"/>
        <w:jc w:val="center"/>
      </w:pPr>
      <w:r>
        <w:rPr>
          <w:rFonts w:ascii="Arial" w:cs="Arial" w:eastAsia="Arial" w:hAnsi="Arial"/>
          <w:i/>
          <w:iCs/>
          <w:color w:val="CCDCF8"/>
          <w:sz w:val="22"/>
          <w:szCs w:val="22"/>
        </w:rPr>
        <w:t xml:space="preserve">Explorador interactivo del Índice Global de Innovación</w:t>
      </w:r>
    </w:p>
    <w:p>
      <w:pPr>
        <w:spacing w:after="80" w:before="160"/>
      </w:pPr>
      <w:r>
        <w:rPr>
          <w:rFonts w:ascii="Arial" w:cs="Arial" w:eastAsia="Arial" w:hAnsi="Arial"/>
          <w:b/>
          <w:bCs/>
          <w:color w:val="1A56DB"/>
          <w:sz w:val="24"/>
          <w:szCs w:val="24"/>
        </w:rPr>
        <w:t xml:space="preserve">Descripción General</w:t>
      </w:r>
    </w:p>
    <w:p>
      <w:pPr>
        <w:spacing w:after="40" w:before="40"/>
        <w:jc w:val="both"/>
      </w:pPr>
      <w:r>
        <w:rPr>
          <w:rFonts w:ascii="Arial" w:cs="Arial" w:eastAsia="Arial" w:hAnsi="Arial"/>
          <w:b w:val="false"/>
          <w:bCs w:val="false"/>
          <w:i w:val="false"/>
          <w:iCs w:val="false"/>
          <w:color w:val="1E2A3A"/>
          <w:sz w:val="20"/>
          <w:szCs w:val="20"/>
        </w:rPr>
        <w:t xml:space="preserve">INEXDATA es una aplicación web interactiva desarrollada como proyecto académico para el programa Talento Tech (Colombia). Su propósito es permitir explorar, visualizar y comparar el desempeño histórico de 149 países en el Índice Global de Innovación (GII), publicado anualmente por la OMPI (Organización Mundial de la Propiedad Intelectual), con datos que abarcan desde 2011 hasta 2024.</w:t>
      </w:r>
    </w:p>
    <w:p>
      <w:pPr>
        <w:pBdr>
          <w:bottom w:val="single" w:color="DDDDDD" w:sz="4" w:space="1"/>
        </w:pBdr>
        <w:spacing w:after="80" w:before="80"/>
      </w:pPr>
      <w:r>
        <w:t xml:space="preserve"/>
      </w:r>
    </w:p>
    <w:tbl>
      <w:tblPr>
        <w:tblW w:type="dxa" w:w="10080"/>
        <w:tblBorders>
          <w:top w:val="none"/>
          <w:left w:val="none"/>
          <w:bottom w:val="none"/>
          <w:right w:val="none"/>
          <w:insideH w:val="single" w:color="auto" w:sz="4"/>
          <w:insideV w:val="single" w:color="auto" w:sz="4"/>
        </w:tblBorders>
      </w:tblPr>
      <w:tblGrid>
        <w:gridCol w:w="4920"/>
        <w:gridCol w:w="5160"/>
      </w:tblGrid>
      <w:tr>
        <w:tc>
          <w:tcPr>
            <w:tcW w:type="dxa" w:w="4920"/>
            <w:tcBorders>
              <w:top w:val="none"/>
              <w:left w:val="none"/>
              <w:bottom w:val="none"/>
              <w:right w:val="none"/>
            </w:tcBorders>
            <w:tcMar>
              <w:top w:type="dxa" w:w="0"/>
              <w:left w:type="dxa" w:w="0"/>
              <w:bottom w:type="dxa" w:w="0"/>
              <w:right w:type="dxa" w:w="200"/>
            </w:tcMar>
          </w:tcPr>
          <w:p>
            <w:pPr>
              <w:spacing w:after="80" w:before="100"/>
            </w:pPr>
            <w:r>
              <w:rPr>
                <w:rFonts w:ascii="Arial" w:cs="Arial" w:eastAsia="Arial" w:hAnsi="Arial"/>
                <w:b/>
                <w:bCs/>
                <w:color w:val="1A56DB"/>
                <w:sz w:val="22"/>
                <w:szCs w:val="22"/>
              </w:rPr>
              <w:t xml:space="preserve">Funcionalidades Principales</w:t>
            </w:r>
          </w:p>
          <w:p>
            <w:pPr>
              <w:pStyle w:val="ListParagraph"/>
              <w:numPr>
                <w:ilvl w:val="0"/>
                <w:numId w:val="2"/>
              </w:numPr>
              <w:spacing w:after="40" w:before="40"/>
            </w:pPr>
            <w:r>
              <w:rPr>
                <w:rFonts w:ascii="Arial" w:cs="Arial" w:eastAsia="Arial" w:hAnsi="Arial"/>
                <w:color w:val="1E2A3A"/>
                <w:sz w:val="19"/>
                <w:szCs w:val="19"/>
              </w:rPr>
              <w:t xml:space="preserve">Explorador por país: selector de 149 países con tarjeta de resumen, bandera, continente, índice y ranking actuales.</w:t>
            </w:r>
          </w:p>
          <w:p>
            <w:pPr>
              <w:pStyle w:val="ListParagraph"/>
              <w:numPr>
                <w:ilvl w:val="0"/>
                <w:numId w:val="2"/>
              </w:numPr>
              <w:spacing w:after="40" w:before="40"/>
            </w:pPr>
            <w:r>
              <w:rPr>
                <w:rFonts w:ascii="Arial" w:cs="Arial" w:eastAsia="Arial" w:hAnsi="Arial"/>
                <w:color w:val="1E2A3A"/>
                <w:sz w:val="19"/>
                <w:szCs w:val="19"/>
              </w:rPr>
              <w:t xml:space="preserve">Gráficos interactivos: línea de tendencia del índice, barras de ranking por año y gráfico comparativo entre países.</w:t>
            </w:r>
          </w:p>
          <w:p>
            <w:pPr>
              <w:pStyle w:val="ListParagraph"/>
              <w:numPr>
                <w:ilvl w:val="0"/>
                <w:numId w:val="2"/>
              </w:numPr>
              <w:spacing w:after="40" w:before="40"/>
            </w:pPr>
            <w:r>
              <w:rPr>
                <w:rFonts w:ascii="Arial" w:cs="Arial" w:eastAsia="Arial" w:hAnsi="Arial"/>
                <w:color w:val="1E2A3A"/>
                <w:sz w:val="19"/>
                <w:szCs w:val="19"/>
              </w:rPr>
              <w:t xml:space="preserve">Tabla histórica con registros de año, índice y ranking para cada país.</w:t>
            </w:r>
          </w:p>
          <w:p>
            <w:pPr>
              <w:pStyle w:val="ListParagraph"/>
              <w:numPr>
                <w:ilvl w:val="0"/>
                <w:numId w:val="2"/>
              </w:numPr>
              <w:spacing w:after="40" w:before="40"/>
            </w:pPr>
            <w:r>
              <w:rPr>
                <w:rFonts w:ascii="Arial" w:cs="Arial" w:eastAsia="Arial" w:hAnsi="Arial"/>
                <w:color w:val="1E2A3A"/>
                <w:sz w:val="19"/>
                <w:szCs w:val="19"/>
              </w:rPr>
              <w:t xml:space="preserve">Conclusiones automáticas: 5 análisis textuales generados por JavaScript sobre tendencia, mejor/peor año y estabilidad.</w:t>
            </w:r>
          </w:p>
          <w:p>
            <w:pPr>
              <w:pStyle w:val="ListParagraph"/>
              <w:numPr>
                <w:ilvl w:val="0"/>
                <w:numId w:val="2"/>
              </w:numPr>
              <w:spacing w:after="40" w:before="40"/>
            </w:pPr>
            <w:r>
              <w:rPr>
                <w:rFonts w:ascii="Arial" w:cs="Arial" w:eastAsia="Arial" w:hAnsi="Arial"/>
                <w:color w:val="1E2A3A"/>
                <w:sz w:val="19"/>
                <w:szCs w:val="19"/>
              </w:rPr>
              <w:t xml:space="preserve">Comparador directo: selección de País A vs. País B con tarjetas de resumen y gráfico comparativo.</w:t>
            </w:r>
          </w:p>
          <w:p>
            <w:pPr>
              <w:pStyle w:val="ListParagraph"/>
              <w:numPr>
                <w:ilvl w:val="0"/>
                <w:numId w:val="2"/>
              </w:numPr>
              <w:spacing w:after="40" w:before="40"/>
            </w:pPr>
            <w:r>
              <w:rPr>
                <w:rFonts w:ascii="Arial" w:cs="Arial" w:eastAsia="Arial" w:hAnsi="Arial"/>
                <w:color w:val="1E2A3A"/>
                <w:sz w:val="19"/>
                <w:szCs w:val="19"/>
              </w:rPr>
              <w:t xml:space="preserve">Diseño responsivo con video hero, animaciones AOS al hacer scroll y menú hamburguesa para móviles.</w:t>
            </w:r>
          </w:p>
        </w:tc>
        <w:tc>
          <w:tcPr>
            <w:tcW w:type="dxa" w:w="5160"/>
            <w:tcBorders>
              <w:top w:val="none"/>
              <w:left w:val="single" w:color="1A56DB" w:sz="6"/>
              <w:bottom w:val="none"/>
              <w:right w:val="none"/>
            </w:tcBorders>
            <w:shd w:fill="EEF3FB" w:val="clear"/>
            <w:tcMar>
              <w:top w:type="dxa" w:w="0"/>
              <w:left w:type="dxa" w:w="200"/>
              <w:bottom w:type="dxa" w:w="0"/>
              <w:right w:type="dxa" w:w="0"/>
            </w:tcMar>
          </w:tcPr>
          <w:p>
            <w:pPr>
              <w:spacing w:after="80" w:before="100"/>
            </w:pPr>
            <w:r>
              <w:rPr>
                <w:rFonts w:ascii="Arial" w:cs="Arial" w:eastAsia="Arial" w:hAnsi="Arial"/>
                <w:b/>
                <w:bCs/>
                <w:color w:val="1A56DB"/>
                <w:sz w:val="22"/>
                <w:szCs w:val="22"/>
              </w:rPr>
              <w:t xml:space="preserve">Dataset y Fuente de Datos</w:t>
            </w:r>
          </w:p>
          <w:p>
            <w:pPr>
              <w:spacing w:after="60" w:before="40"/>
              <w:jc w:val="both"/>
            </w:pPr>
            <w:r>
              <w:rPr>
                <w:rFonts w:ascii="Arial" w:cs="Arial" w:eastAsia="Arial" w:hAnsi="Arial"/>
                <w:color w:val="1E2A3A"/>
                <w:sz w:val="19"/>
                <w:szCs w:val="19"/>
              </w:rPr>
              <w:t xml:space="preserve">El conjunto de datos proviene del Global Innovation Index de la OMPI (WIPO) y fue obtenido a través de Kaggle. Contiene:</w:t>
            </w:r>
          </w:p>
          <w:p>
            <w:pPr>
              <w:pStyle w:val="ListParagraph"/>
              <w:numPr>
                <w:ilvl w:val="0"/>
                <w:numId w:val="2"/>
              </w:numPr>
              <w:spacing w:after="30" w:before="30"/>
            </w:pPr>
            <w:r>
              <w:rPr>
                <w:rFonts w:ascii="Arial" w:cs="Arial" w:eastAsia="Arial" w:hAnsi="Arial"/>
                <w:color w:val="1E2A3A"/>
                <w:sz w:val="19"/>
                <w:szCs w:val="19"/>
              </w:rPr>
              <w:t xml:space="preserve">149 países incluidos.</w:t>
            </w:r>
          </w:p>
          <w:p>
            <w:pPr>
              <w:pStyle w:val="ListParagraph"/>
              <w:numPr>
                <w:ilvl w:val="0"/>
                <w:numId w:val="2"/>
              </w:numPr>
              <w:spacing w:after="30" w:before="30"/>
            </w:pPr>
            <w:r>
              <w:rPr>
                <w:rFonts w:ascii="Arial" w:cs="Arial" w:eastAsia="Arial" w:hAnsi="Arial"/>
                <w:color w:val="1E2A3A"/>
                <w:sz w:val="19"/>
                <w:szCs w:val="19"/>
              </w:rPr>
              <w:t xml:space="preserve">Hasta 14 años de histórico (2011–2024) por país.</w:t>
            </w:r>
          </w:p>
          <w:p>
            <w:pPr>
              <w:pStyle w:val="ListParagraph"/>
              <w:numPr>
                <w:ilvl w:val="0"/>
                <w:numId w:val="2"/>
              </w:numPr>
              <w:spacing w:after="30" w:before="30"/>
            </w:pPr>
            <w:r>
              <w:rPr>
                <w:rFonts w:ascii="Arial" w:cs="Arial" w:eastAsia="Arial" w:hAnsi="Arial"/>
                <w:color w:val="1E2A3A"/>
                <w:sz w:val="19"/>
                <w:szCs w:val="19"/>
              </w:rPr>
              <w:t xml:space="preserve">Campos: año, índice de innovación (score) y posición en el ranking global.</w:t>
            </w:r>
          </w:p>
          <w:p>
            <w:pPr>
              <w:spacing w:after="40" w:before="80"/>
              <w:jc w:val="both"/>
            </w:pPr>
            <w:r>
              <w:rPr>
                <w:rFonts w:ascii="Arial" w:cs="Arial" w:eastAsia="Arial" w:hAnsi="Arial"/>
                <w:i/>
                <w:iCs/>
                <w:color w:val="1E2A3A"/>
                <w:sz w:val="19"/>
                <w:szCs w:val="19"/>
              </w:rPr>
              <w:t xml:space="preserve">El script de preprocesamiento en Python transforma el archivo TSV original en dos JSON listos para consumir en el frontend, resolviendo nombres, continentes y banderas por código ISO.</w:t>
            </w:r>
          </w:p>
        </w:tc>
      </w:tr>
    </w:tbl>
    <w:p>
      <w:pPr>
        <w:pBdr>
          <w:bottom w:val="single" w:color="DDDDDD" w:sz="4" w:space="1"/>
        </w:pBdr>
        <w:spacing w:after="80" w:before="80"/>
      </w:pPr>
      <w:r>
        <w:t xml:space="preserve"/>
      </w:r>
    </w:p>
    <w:p>
      <w:pPr>
        <w:spacing w:after="100" w:before="120"/>
      </w:pPr>
      <w:r>
        <w:rPr>
          <w:rFonts w:ascii="Arial" w:cs="Arial" w:eastAsia="Arial" w:hAnsi="Arial"/>
          <w:b/>
          <w:bCs/>
          <w:color w:val="1A56DB"/>
          <w:sz w:val="24"/>
          <w:szCs w:val="24"/>
        </w:rPr>
        <w:t xml:space="preserve">Stack Tecnológico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3000"/>
        <w:gridCol w:w="4920"/>
      </w:tblGrid>
      <w:tr>
        <w:trPr>
          <w:tblHeader/>
        </w:trPr>
        <w:tc>
          <w:tcPr>
            <w:tcW w:type="dxa" w:w="216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Capa</w:t>
            </w:r>
          </w:p>
        </w:tc>
        <w:tc>
          <w:tcPr>
            <w:tcW w:type="dxa" w:w="300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Tecnología</w:t>
            </w:r>
          </w:p>
        </w:tc>
        <w:tc>
          <w:tcPr>
            <w:tcW w:type="dxa" w:w="4920"/>
            <w:tcBorders>
              <w:top w:val="single" w:color="CCCCCC" w:sz="1"/>
              <w:left w:val="single" w:color="CCCCCC" w:sz="1"/>
              <w:bottom w:val="single" w:color="CCCCCC" w:sz="1"/>
              <w:right w:val="single" w:color="CCCCCC" w:sz="1"/>
            </w:tcBorders>
            <w:shd w:fill="1A56DB" w:val="clear"/>
            <w:tcMar>
              <w:top w:type="dxa" w:w="80"/>
              <w:left w:type="dxa" w:w="120"/>
              <w:bottom w:type="dxa" w:w="80"/>
              <w:right w:type="dxa" w:w="120"/>
            </w:tcMar>
          </w:tcPr>
          <w:p>
            <w:r>
              <w:rPr>
                <w:rFonts w:ascii="Arial" w:cs="Arial" w:eastAsia="Arial" w:hAnsi="Arial"/>
                <w:b/>
                <w:bCs/>
                <w:color w:val="FFFFFF"/>
                <w:sz w:val="19"/>
                <w:szCs w:val="19"/>
              </w:rPr>
              <w:t xml:space="preserve">Propósito</w:t>
            </w:r>
          </w:p>
        </w:tc>
      </w:tr>
      <w:tr>
        <w:tc>
          <w:tcPr>
            <w:tcW w:type="dxa" w:w="216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b/>
                <w:bCs/>
                <w:color w:val="1E2A3A"/>
                <w:sz w:val="18"/>
                <w:szCs w:val="18"/>
              </w:rPr>
              <w:t xml:space="preserve">Estructura</w:t>
            </w:r>
          </w:p>
        </w:tc>
        <w:tc>
          <w:tcPr>
            <w:tcW w:type="dxa" w:w="300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A56DB"/>
                <w:sz w:val="18"/>
                <w:szCs w:val="18"/>
              </w:rPr>
              <w:t xml:space="preserve">HTML5</w:t>
            </w:r>
          </w:p>
        </w:tc>
        <w:tc>
          <w:tcPr>
            <w:tcW w:type="dxa" w:w="492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E2A3A"/>
                <w:sz w:val="18"/>
                <w:szCs w:val="18"/>
              </w:rPr>
              <w:t xml:space="preserve">Marcado semántico de la interfaz (SPA de una sola página)</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2A3A"/>
                <w:sz w:val="18"/>
                <w:szCs w:val="18"/>
              </w:rPr>
              <w:t xml:space="preserve">Estilos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56DB"/>
                <w:sz w:val="18"/>
                <w:szCs w:val="18"/>
              </w:rPr>
              <w:t xml:space="preserve">CSS3 + Custom Properties</w:t>
            </w:r>
          </w:p>
        </w:tc>
        <w:tc>
          <w:tcPr>
            <w:tcW w:type="dxa" w:w="4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A3A"/>
                <w:sz w:val="18"/>
                <w:szCs w:val="18"/>
              </w:rPr>
              <w:t xml:space="preserve">Diseño responsivo, tokens de color, layout y animaciones</w:t>
            </w:r>
          </w:p>
        </w:tc>
      </w:tr>
      <w:tr>
        <w:tc>
          <w:tcPr>
            <w:tcW w:type="dxa" w:w="216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b/>
                <w:bCs/>
                <w:color w:val="1E2A3A"/>
                <w:sz w:val="18"/>
                <w:szCs w:val="18"/>
              </w:rPr>
              <w:t xml:space="preserve">Lógica</w:t>
            </w:r>
          </w:p>
        </w:tc>
        <w:tc>
          <w:tcPr>
            <w:tcW w:type="dxa" w:w="300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A56DB"/>
                <w:sz w:val="18"/>
                <w:szCs w:val="18"/>
              </w:rPr>
              <w:t xml:space="preserve">JavaScript ES6+ (Vanilla)</w:t>
            </w:r>
          </w:p>
        </w:tc>
        <w:tc>
          <w:tcPr>
            <w:tcW w:type="dxa" w:w="492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E2A3A"/>
                <w:sz w:val="18"/>
                <w:szCs w:val="18"/>
              </w:rPr>
              <w:t xml:space="preserve">Carga de datos, renderizado dinámico y cálculos estadísticos</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2A3A"/>
                <w:sz w:val="18"/>
                <w:szCs w:val="18"/>
              </w:rPr>
              <w:t xml:space="preserve">Gráficos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56DB"/>
                <w:sz w:val="18"/>
                <w:szCs w:val="18"/>
              </w:rPr>
              <w:t xml:space="preserve">Chart.js</w:t>
            </w:r>
          </w:p>
        </w:tc>
        <w:tc>
          <w:tcPr>
            <w:tcW w:type="dxa" w:w="4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A3A"/>
                <w:sz w:val="18"/>
                <w:szCs w:val="18"/>
              </w:rPr>
              <w:t xml:space="preserve">Gráficas de línea y barras interactivas</w:t>
            </w:r>
          </w:p>
        </w:tc>
      </w:tr>
      <w:tr>
        <w:tc>
          <w:tcPr>
            <w:tcW w:type="dxa" w:w="216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b/>
                <w:bCs/>
                <w:color w:val="1E2A3A"/>
                <w:sz w:val="18"/>
                <w:szCs w:val="18"/>
              </w:rPr>
              <w:t xml:space="preserve">Animaciones</w:t>
            </w:r>
          </w:p>
        </w:tc>
        <w:tc>
          <w:tcPr>
            <w:tcW w:type="dxa" w:w="300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A56DB"/>
                <w:sz w:val="18"/>
                <w:szCs w:val="18"/>
              </w:rPr>
              <w:t xml:space="preserve">AOS Library</w:t>
            </w:r>
          </w:p>
        </w:tc>
        <w:tc>
          <w:tcPr>
            <w:tcW w:type="dxa" w:w="492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E2A3A"/>
                <w:sz w:val="18"/>
                <w:szCs w:val="18"/>
              </w:rPr>
              <w:t xml:space="preserve">Efectos de entrada y transiciones al hacer scroll</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2A3A"/>
                <w:sz w:val="18"/>
                <w:szCs w:val="18"/>
              </w:rPr>
              <w:t xml:space="preserve">Iconos / Fuente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56DB"/>
                <w:sz w:val="18"/>
                <w:szCs w:val="18"/>
              </w:rPr>
              <w:t xml:space="preserve">Font Awesome 6 / Inter</w:t>
            </w:r>
          </w:p>
        </w:tc>
        <w:tc>
          <w:tcPr>
            <w:tcW w:type="dxa" w:w="4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A3A"/>
                <w:sz w:val="18"/>
                <w:szCs w:val="18"/>
              </w:rPr>
              <w:t xml:space="preserve">Iconografía UI y tipografía principal (Google Fonts)</w:t>
            </w:r>
          </w:p>
        </w:tc>
      </w:tr>
      <w:tr>
        <w:tc>
          <w:tcPr>
            <w:tcW w:type="dxa" w:w="216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b/>
                <w:bCs/>
                <w:color w:val="1E2A3A"/>
                <w:sz w:val="18"/>
                <w:szCs w:val="18"/>
              </w:rPr>
              <w:t xml:space="preserve">Preprocesamiento</w:t>
            </w:r>
          </w:p>
        </w:tc>
        <w:tc>
          <w:tcPr>
            <w:tcW w:type="dxa" w:w="300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A56DB"/>
                <w:sz w:val="18"/>
                <w:szCs w:val="18"/>
              </w:rPr>
              <w:t xml:space="preserve">Python 3 + pandas + pycountry</w:t>
            </w:r>
          </w:p>
        </w:tc>
        <w:tc>
          <w:tcPr>
            <w:tcW w:type="dxa" w:w="4920"/>
            <w:tcBorders>
              <w:top w:val="single" w:color="CCCCCC" w:sz="1"/>
              <w:left w:val="single" w:color="CCCCCC" w:sz="1"/>
              <w:bottom w:val="single" w:color="CCCCCC" w:sz="1"/>
              <w:right w:val="single" w:color="CCCCCC" w:sz="1"/>
            </w:tcBorders>
            <w:shd w:fill="EEF3FB" w:val="clear"/>
            <w:tcMar>
              <w:top w:type="dxa" w:w="70"/>
              <w:left w:type="dxa" w:w="120"/>
              <w:bottom w:type="dxa" w:w="70"/>
              <w:right w:type="dxa" w:w="120"/>
            </w:tcMar>
          </w:tcPr>
          <w:p>
            <w:r>
              <w:rPr>
                <w:rFonts w:ascii="Arial" w:cs="Arial" w:eastAsia="Arial" w:hAnsi="Arial"/>
                <w:color w:val="1E2A3A"/>
                <w:sz w:val="18"/>
                <w:szCs w:val="18"/>
              </w:rPr>
              <w:t xml:space="preserve">Transformación del dataset TSV a JSON optimizado</w:t>
            </w:r>
          </w:p>
        </w:tc>
      </w:tr>
      <w:tr>
        <w:tc>
          <w:tcPr>
            <w:tcW w:type="dxa" w:w="2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b/>
                <w:bCs/>
                <w:color w:val="1E2A3A"/>
                <w:sz w:val="18"/>
                <w:szCs w:val="18"/>
              </w:rPr>
              <w:t xml:space="preserve">Despliegue</w:t>
            </w:r>
          </w:p>
        </w:tc>
        <w:tc>
          <w:tcPr>
            <w:tcW w:type="dxa" w:w="3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A56DB"/>
                <w:sz w:val="18"/>
                <w:szCs w:val="18"/>
              </w:rPr>
              <w:t xml:space="preserve">Vercel</w:t>
            </w:r>
          </w:p>
        </w:tc>
        <w:tc>
          <w:tcPr>
            <w:tcW w:type="dxa" w:w="492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1E2A3A"/>
                <w:sz w:val="18"/>
                <w:szCs w:val="18"/>
              </w:rPr>
              <w:t xml:space="preserve">Hosting estático con integración continua</w:t>
            </w:r>
          </w:p>
        </w:tc>
      </w:tr>
    </w:tbl>
    <w:p>
      <w:pPr>
        <w:pBdr>
          <w:bottom w:val="single" w:color="DDDDDD" w:sz="4" w:space="1"/>
        </w:pBdr>
        <w:spacing w:after="80" w:before="80"/>
      </w:pPr>
      <w:r>
        <w:t xml:space="preserve"/>
      </w:r>
    </w:p>
    <w:p>
      <w:pPr>
        <w:spacing w:after="60" w:before="80"/>
        <w:jc w:val="center"/>
      </w:pPr>
      <w:r>
        <w:rPr>
          <w:rFonts w:ascii="Arial" w:cs="Arial" w:eastAsia="Arial" w:hAnsi="Arial"/>
          <w:b/>
          <w:bCs/>
          <w:color w:val="1A56DB"/>
          <w:sz w:val="20"/>
          <w:szCs w:val="20"/>
        </w:rPr>
        <w:t xml:space="preserve">Autor: </w:t>
      </w:r>
      <w:r>
        <w:rPr>
          <w:rFonts w:ascii="Arial" w:cs="Arial" w:eastAsia="Arial" w:hAnsi="Arial"/>
          <w:color w:val="1E2A3A"/>
          <w:sz w:val="20"/>
          <w:szCs w:val="20"/>
        </w:rPr>
        <w:t xml:space="preserve">Diego Robles</w:t>
      </w:r>
      <w:r>
        <w:rPr>
          <w:rFonts w:ascii="Arial" w:cs="Arial" w:eastAsia="Arial" w:hAnsi="Arial"/>
          <w:color w:val="BBBBBB"/>
          <w:sz w:val="20"/>
          <w:szCs w:val="20"/>
        </w:rPr>
        <w:t xml:space="preserve">   |   </w:t>
      </w:r>
      <w:r>
        <w:rPr>
          <w:rFonts w:ascii="Arial" w:cs="Arial" w:eastAsia="Arial" w:hAnsi="Arial"/>
          <w:b/>
          <w:bCs/>
          <w:color w:val="1A56DB"/>
          <w:sz w:val="20"/>
          <w:szCs w:val="20"/>
        </w:rPr>
        <w:t xml:space="preserve">Colaboradores: </w:t>
      </w:r>
      <w:r>
        <w:rPr>
          <w:rFonts w:ascii="Arial" w:cs="Arial" w:eastAsia="Arial" w:hAnsi="Arial"/>
          <w:color w:val="1E2A3A"/>
          <w:sz w:val="20"/>
          <w:szCs w:val="20"/>
        </w:rPr>
        <w:t xml:space="preserve">Johan Ospina, Guillermo Guillén</w:t>
      </w:r>
      <w:r>
        <w:rPr>
          <w:rFonts w:ascii="Arial" w:cs="Arial" w:eastAsia="Arial" w:hAnsi="Arial"/>
          <w:color w:val="BBBBBB"/>
          <w:sz w:val="20"/>
          <w:szCs w:val="20"/>
        </w:rPr>
        <w:t xml:space="preserve">   |   </w:t>
      </w:r>
      <w:r>
        <w:rPr>
          <w:rFonts w:ascii="Arial" w:cs="Arial" w:eastAsia="Arial" w:hAnsi="Arial"/>
          <w:b/>
          <w:bCs/>
          <w:color w:val="1A56DB"/>
          <w:sz w:val="20"/>
          <w:szCs w:val="20"/>
        </w:rPr>
        <w:t xml:space="preserve">Programa: </w:t>
      </w:r>
      <w:r>
        <w:rPr>
          <w:rFonts w:ascii="Arial" w:cs="Arial" w:eastAsia="Arial" w:hAnsi="Arial"/>
          <w:color w:val="1E2A3A"/>
          <w:sz w:val="20"/>
          <w:szCs w:val="20"/>
        </w:rPr>
        <w:t xml:space="preserve">Talento Tech — Colombia</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1"/>
      </w:pBdr>
      <w:spacing w:before="0"/>
    </w:pPr>
    <w:r>
      <w:rPr>
        <w:rFonts w:ascii="Arial" w:cs="Arial" w:eastAsia="Arial" w:hAnsi="Arial"/>
        <w:color w:val="AAAAAA"/>
        <w:sz w:val="16"/>
        <w:szCs w:val="16"/>
      </w:rPr>
      <w:t xml:space="preserve">Proyecto académico — Talento Tech, Colombia  |  WIPO / GII Dataset  |  Página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3" w:space="1"/>
      </w:pBdr>
      <w:tabs>
        <w:tab w:val="right" w:pos="9026"/>
      </w:tabs>
      <w:spacing w:after="0"/>
    </w:pPr>
    <w:r>
      <w:rPr>
        <w:rFonts w:ascii="Arial" w:cs="Arial" w:eastAsia="Arial" w:hAnsi="Arial"/>
        <w:b w:val="false"/>
        <w:bCs w:val="false"/>
        <w:color w:val="888888"/>
        <w:sz w:val="16"/>
        <w:szCs w:val="16"/>
      </w:rPr>
      <w:t xml:space="preserve">INEXDATA  —  Resumen del Proyecto</w:t>
    </w:r>
    <w:r>
      <w:rPr>
        <w:rFonts w:ascii="Arial" w:cs="Arial" w:eastAsia="Arial" w:hAnsi="Arial"/>
        <w:sz w:val="16"/>
        <w:szCs w:val="16"/>
      </w:rPr>
      <w:t xml:space="preserve">	</w:t>
    </w:r>
    <w:r>
      <w:rPr>
        <w:rFonts w:ascii="Arial" w:cs="Arial" w:eastAsia="Arial" w:hAnsi="Arial"/>
        <w:color w:val="888888"/>
        <w:sz w:val="16"/>
        <w:szCs w:val="16"/>
      </w:rPr>
      <w:t xml:space="preserve">Diego Robles  |  Mayo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2026-05-15T23:45:03.887Z</dcterms:created>
  <dcterms:modified xsi:type="dcterms:W3CDTF">2026-05-15T23:45:03.887Z</dcterms:modified>
</cp:coreProperties>
</file>

<file path=docProps/custom.xml><?xml version="1.0" encoding="utf-8"?>
<Properties xmlns="http://schemas.openxmlformats.org/officeDocument/2006/custom-properties" xmlns:vt="http://schemas.openxmlformats.org/officeDocument/2006/docPropsVTypes"/>
</file>