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F3A3D"/>
          <w:sz w:val="34"/>
        </w:rPr>
        <w:t>PlayIT: Offline-First Gamified Early Literacy Mobile Application</w:t>
      </w:r>
    </w:p>
    <w:p>
      <w:pPr>
        <w:spacing w:after="80"/>
      </w:pPr>
      <w:r>
        <w:rPr>
          <w:rFonts w:ascii="Calibri" w:hAnsi="Calibri"/>
          <w:b/>
          <w:color w:val="6B4E71"/>
          <w:sz w:val="22"/>
        </w:rPr>
        <w:t>MVP Validation Highlights &amp; Field Evaluation Report (Weeks 1–2 Deliverable)</w:t>
      </w:r>
    </w:p>
    <w:tbl>
      <w:tblPr>
        <w:tblW w:type="auto" w:w="0"/>
        <w:jc w:val="center"/>
        <w:tblLayout w:type="fixed"/>
        <w:tblLook w:firstColumn="1" w:firstRow="1" w:lastColumn="0" w:lastRow="0" w:noHBand="0" w:noVBand="1" w:val="04A0"/>
      </w:tblPr>
      <w:tblGrid>
        <w:gridCol w:w="10368"/>
      </w:tblGrid>
      <w:tr>
        <w:tc>
          <w:tcPr>
            <w:tcW w:type="dxa" w:w="10368"/>
            <w:shd w:fill="F0F7F6"/>
            <w:tcMar>
              <w:top w:w="80" w:type="dxa"/>
              <w:bottom w:w="80" w:type="dxa"/>
              <w:left w:w="120" w:type="dxa"/>
              <w:right w:w="120" w:type="dxa"/>
            </w:tcMar>
          </w:tcPr>
          <w:p>
            <w:pPr>
              <w:spacing w:after="40" w:line="276" w:lineRule="auto"/>
            </w:pPr>
            <w:r>
              <w:rPr>
                <w:rFonts w:ascii="Calibri" w:hAnsi="Calibri"/>
                <w:color w:val="2D3748"/>
                <w:sz w:val="17"/>
              </w:rPr>
              <w:t>Course: IT411 — Capstone &amp; Research 2 | Semester 1, AY 2026–2027</w:t>
              <w:br/>
              <w:t>Institution: College of Computer Studies, Cebu Institute of Technology – University</w:t>
              <w:br/>
              <w:t>Evaluation Period: September 16–23, 2026 | Dataset: Master (responses).xlsx (Google Forms Synced)</w:t>
              <w:br/>
              <w:t>Evaluated Cohorts: N=16 Early Learners, N=5 Parents/Guardians, N=4 DepEd Certified Reading Educators (Total N=25)</w:t>
            </w:r>
          </w:p>
        </w:tc>
      </w:tr>
    </w:tbl>
    <w:p>
      <w:pPr>
        <w:spacing w:after="80"/>
      </w:pPr>
    </w:p>
    <w:p>
      <w:pPr>
        <w:spacing w:before="80" w:after="40"/>
      </w:pPr>
      <w:r>
        <w:rPr>
          <w:rFonts w:ascii="Calibri" w:hAnsi="Calibri"/>
          <w:b/>
          <w:color w:val="1F3A3D"/>
          <w:sz w:val="24"/>
        </w:rPr>
        <w:t>1. Executive Summary &amp; Validation Purpose</w:t>
      </w:r>
    </w:p>
    <w:p>
      <w:pPr>
        <w:spacing w:after="80"/>
      </w:pPr>
      <w:r>
        <w:rPr>
          <w:rFonts w:ascii="Calibri" w:hAnsi="Calibri"/>
          <w:color w:val="2D3748"/>
          <w:sz w:val="18"/>
        </w:rPr>
        <w:t>The MVP Validation activity was conducted during Weeks 1–2 of Capstone 2 to systematically gather diagnostic feedback from primary beneficiaries and domain experts. The objective is not merely statistical verification, but identifying ergonomic barriers, phonetic pedagogical discrepancies, and user interaction hurdles to directly inform the Week 3 Requirements Refactoring (SRS v3.0 / SDD v2.0) prior to full-scale development lock.</w:t>
        <w:br/>
        <w:br/>
        <w:t>Field trials were administered across physical Android test devices running playit-debug.apk in classroom, home, and community settings. A total of 25 multi-stakeholder evaluations were recorded across three linked Google Forms. The empirical findings reveal exceptionally high usability and learner engagement (Mean SUS = 75.50; 93.8% child joy), 100% educator agreement on Marungko curriculum alignment, and a critical pedagogical insight: the urgent need to isolate pure phonetic phonemes from letter-name pronunciation artifacts.</w:t>
      </w:r>
    </w:p>
    <w:p>
      <w:pPr>
        <w:spacing w:before="80" w:after="40"/>
      </w:pPr>
      <w:r>
        <w:rPr>
          <w:rFonts w:ascii="Calibri" w:hAnsi="Calibri"/>
          <w:b/>
          <w:color w:val="1F3A3D"/>
          <w:sz w:val="24"/>
        </w:rPr>
        <w:t>2. Stakeholder Cohort &amp; Empirical Data Overview</w:t>
      </w:r>
    </w:p>
    <w:tbl>
      <w:tblPr>
        <w:tblW w:type="auto" w:w="0"/>
        <w:jc w:val="center"/>
        <w:tblLook w:firstColumn="1" w:firstRow="1" w:lastColumn="0" w:lastRow="0" w:noHBand="0" w:noVBand="1" w:val="04A0"/>
      </w:tblPr>
      <w:tblGrid>
        <w:gridCol w:w="2074"/>
        <w:gridCol w:w="2074"/>
        <w:gridCol w:w="2074"/>
        <w:gridCol w:w="2074"/>
        <w:gridCol w:w="2074"/>
      </w:tblGrid>
      <w:tr>
        <w:tc>
          <w:tcPr>
            <w:tcW w:type="dxa" w:w="2160"/>
            <w:shd w:fill="2B7A78"/>
            <w:tcMar>
              <w:top w:w="45" w:type="dxa"/>
              <w:bottom w:w="45" w:type="dxa"/>
              <w:left w:w="70" w:type="dxa"/>
              <w:right w:w="70" w:type="dxa"/>
            </w:tcMar>
          </w:tcPr>
          <w:p>
            <w:r>
              <w:rPr>
                <w:rFonts w:ascii="Calibri" w:hAnsi="Calibri"/>
                <w:b/>
                <w:color w:val="FFFFFF"/>
                <w:sz w:val="15"/>
              </w:rPr>
              <w:t>Stakeholder Cohort</w:t>
            </w:r>
          </w:p>
        </w:tc>
        <w:tc>
          <w:tcPr>
            <w:tcW w:type="dxa" w:w="864"/>
            <w:shd w:fill="2B7A78"/>
            <w:tcMar>
              <w:top w:w="45" w:type="dxa"/>
              <w:bottom w:w="45" w:type="dxa"/>
              <w:left w:w="70" w:type="dxa"/>
              <w:right w:w="70" w:type="dxa"/>
            </w:tcMar>
          </w:tcPr>
          <w:p>
            <w:r>
              <w:rPr>
                <w:rFonts w:ascii="Calibri" w:hAnsi="Calibri"/>
                <w:b/>
                <w:color w:val="FFFFFF"/>
                <w:sz w:val="15"/>
              </w:rPr>
              <w:t>Sample (N)</w:t>
            </w:r>
          </w:p>
        </w:tc>
        <w:tc>
          <w:tcPr>
            <w:tcW w:type="dxa" w:w="2592"/>
            <w:shd w:fill="2B7A78"/>
            <w:tcMar>
              <w:top w:w="45" w:type="dxa"/>
              <w:bottom w:w="45" w:type="dxa"/>
              <w:left w:w="70" w:type="dxa"/>
              <w:right w:w="70" w:type="dxa"/>
            </w:tcMar>
          </w:tcPr>
          <w:p>
            <w:r>
              <w:rPr>
                <w:rFonts w:ascii="Calibri" w:hAnsi="Calibri"/>
                <w:b/>
                <w:color w:val="FFFFFF"/>
                <w:sz w:val="15"/>
              </w:rPr>
              <w:t>Evaluation Instrument &amp; Link</w:t>
            </w:r>
          </w:p>
        </w:tc>
        <w:tc>
          <w:tcPr>
            <w:tcW w:type="dxa" w:w="2592"/>
            <w:shd w:fill="2B7A78"/>
            <w:tcMar>
              <w:top w:w="45" w:type="dxa"/>
              <w:bottom w:w="45" w:type="dxa"/>
              <w:left w:w="70" w:type="dxa"/>
              <w:right w:w="70" w:type="dxa"/>
            </w:tcMar>
          </w:tcPr>
          <w:p>
            <w:r>
              <w:rPr>
                <w:rFonts w:ascii="Calibri" w:hAnsi="Calibri"/>
                <w:b/>
                <w:color w:val="FFFFFF"/>
                <w:sz w:val="15"/>
              </w:rPr>
              <w:t>Primary Measurement Dimension</w:t>
            </w:r>
          </w:p>
        </w:tc>
        <w:tc>
          <w:tcPr>
            <w:tcW w:type="dxa" w:w="2160"/>
            <w:shd w:fill="2B7A78"/>
            <w:tcMar>
              <w:top w:w="45" w:type="dxa"/>
              <w:bottom w:w="45" w:type="dxa"/>
              <w:left w:w="70" w:type="dxa"/>
              <w:right w:w="70" w:type="dxa"/>
            </w:tcMar>
          </w:tcPr>
          <w:p>
            <w:r>
              <w:rPr>
                <w:rFonts w:ascii="Calibri" w:hAnsi="Calibri"/>
                <w:b/>
                <w:color w:val="FFFFFF"/>
                <w:sz w:val="15"/>
              </w:rPr>
              <w:t>Testing Modality</w:t>
            </w:r>
          </w:p>
        </w:tc>
      </w:tr>
      <w:tr>
        <w:tc>
          <w:tcPr>
            <w:tcW w:type="dxa" w:w="2160"/>
            <w:shd w:fill="F7FAFC"/>
            <w:tcMar>
              <w:top w:w="45" w:type="dxa"/>
              <w:bottom w:w="45" w:type="dxa"/>
              <w:left w:w="70" w:type="dxa"/>
              <w:right w:w="70" w:type="dxa"/>
            </w:tcMar>
          </w:tcPr>
          <w:p>
            <w:r>
              <w:rPr>
                <w:rFonts w:ascii="Calibri" w:hAnsi="Calibri"/>
                <w:b/>
                <w:color w:val="1F3A3D"/>
                <w:sz w:val="15"/>
              </w:rPr>
              <w:t>Early Learners (Ages 5–7)</w:t>
            </w:r>
          </w:p>
        </w:tc>
        <w:tc>
          <w:tcPr>
            <w:tcW w:type="dxa" w:w="864"/>
            <w:shd w:fill="F7FAFC"/>
            <w:tcMar>
              <w:top w:w="45" w:type="dxa"/>
              <w:bottom w:w="45" w:type="dxa"/>
              <w:left w:w="70" w:type="dxa"/>
              <w:right w:w="70" w:type="dxa"/>
            </w:tcMar>
          </w:tcPr>
          <w:p>
            <w:r>
              <w:rPr>
                <w:rFonts w:ascii="Calibri" w:hAnsi="Calibri"/>
                <w:color w:val="2D3748"/>
                <w:sz w:val="15"/>
              </w:rPr>
              <w:t>N = 16</w:t>
            </w:r>
          </w:p>
        </w:tc>
        <w:tc>
          <w:tcPr>
            <w:tcW w:type="dxa" w:w="2592"/>
            <w:shd w:fill="F7FAFC"/>
            <w:tcMar>
              <w:top w:w="45" w:type="dxa"/>
              <w:bottom w:w="45" w:type="dxa"/>
              <w:left w:w="70" w:type="dxa"/>
              <w:right w:w="70" w:type="dxa"/>
            </w:tcMar>
          </w:tcPr>
          <w:p>
            <w:r>
              <w:rPr>
                <w:rFonts w:ascii="Calibri" w:hAnsi="Calibri"/>
                <w:color w:val="2D3748"/>
                <w:sz w:val="15"/>
              </w:rPr>
              <w:t>Child Smileyometer Form (4 items)</w:t>
              <w:br/>
              <w:t>forms.gle/qmVvSp6ATpizXZqn6</w:t>
            </w:r>
          </w:p>
        </w:tc>
        <w:tc>
          <w:tcPr>
            <w:tcW w:type="dxa" w:w="2592"/>
            <w:shd w:fill="F7FAFC"/>
            <w:tcMar>
              <w:top w:w="45" w:type="dxa"/>
              <w:bottom w:w="45" w:type="dxa"/>
              <w:left w:w="70" w:type="dxa"/>
              <w:right w:w="70" w:type="dxa"/>
            </w:tcMar>
          </w:tcPr>
          <w:p>
            <w:r>
              <w:rPr>
                <w:rFonts w:ascii="Calibri" w:hAnsi="Calibri"/>
                <w:color w:val="2D3748"/>
                <w:sz w:val="15"/>
              </w:rPr>
              <w:t>Affective joy, perceived ease, character affinity, replay intention.</w:t>
            </w:r>
          </w:p>
        </w:tc>
        <w:tc>
          <w:tcPr>
            <w:tcW w:type="dxa" w:w="2160"/>
            <w:shd w:fill="F7FAFC"/>
            <w:tcMar>
              <w:top w:w="45" w:type="dxa"/>
              <w:bottom w:w="45" w:type="dxa"/>
              <w:left w:w="70" w:type="dxa"/>
              <w:right w:w="70" w:type="dxa"/>
            </w:tcMar>
          </w:tcPr>
          <w:p>
            <w:r>
              <w:rPr>
                <w:rFonts w:ascii="Calibri" w:hAnsi="Calibri"/>
                <w:color w:val="2D3748"/>
                <w:sz w:val="15"/>
              </w:rPr>
              <w:t>Physical gameplay + Facilitated post-session interview</w:t>
            </w:r>
          </w:p>
        </w:tc>
      </w:tr>
      <w:tr>
        <w:tc>
          <w:tcPr>
            <w:tcW w:type="dxa" w:w="2160"/>
            <w:shd w:fill="FFFFFF"/>
            <w:tcMar>
              <w:top w:w="45" w:type="dxa"/>
              <w:bottom w:w="45" w:type="dxa"/>
              <w:left w:w="70" w:type="dxa"/>
              <w:right w:w="70" w:type="dxa"/>
            </w:tcMar>
          </w:tcPr>
          <w:p>
            <w:r>
              <w:rPr>
                <w:rFonts w:ascii="Calibri" w:hAnsi="Calibri"/>
                <w:b/>
                <w:color w:val="1F3A3D"/>
                <w:sz w:val="15"/>
              </w:rPr>
              <w:t>Parents &amp; Supervising Teachers</w:t>
            </w:r>
          </w:p>
        </w:tc>
        <w:tc>
          <w:tcPr>
            <w:tcW w:type="dxa" w:w="864"/>
            <w:shd w:fill="FFFFFF"/>
            <w:tcMar>
              <w:top w:w="45" w:type="dxa"/>
              <w:bottom w:w="45" w:type="dxa"/>
              <w:left w:w="70" w:type="dxa"/>
              <w:right w:w="70" w:type="dxa"/>
            </w:tcMar>
          </w:tcPr>
          <w:p>
            <w:r>
              <w:rPr>
                <w:rFonts w:ascii="Calibri" w:hAnsi="Calibri"/>
                <w:color w:val="2D3748"/>
                <w:sz w:val="15"/>
              </w:rPr>
              <w:t>N = 5</w:t>
            </w:r>
          </w:p>
        </w:tc>
        <w:tc>
          <w:tcPr>
            <w:tcW w:type="dxa" w:w="2592"/>
            <w:shd w:fill="FFFFFF"/>
            <w:tcMar>
              <w:top w:w="45" w:type="dxa"/>
              <w:bottom w:w="45" w:type="dxa"/>
              <w:left w:w="70" w:type="dxa"/>
              <w:right w:w="70" w:type="dxa"/>
            </w:tcMar>
          </w:tcPr>
          <w:p>
            <w:r>
              <w:rPr>
                <w:rFonts w:ascii="Calibri" w:hAnsi="Calibri"/>
                <w:color w:val="2D3748"/>
                <w:sz w:val="15"/>
              </w:rPr>
              <w:t>Parent/Teacher Evaluation Form (19 items)</w:t>
              <w:br/>
              <w:t>forms.gle/wce86JFVvUA5qfeJ7</w:t>
            </w:r>
          </w:p>
        </w:tc>
        <w:tc>
          <w:tcPr>
            <w:tcW w:type="dxa" w:w="2592"/>
            <w:shd w:fill="FFFFFF"/>
            <w:tcMar>
              <w:top w:w="45" w:type="dxa"/>
              <w:bottom w:w="45" w:type="dxa"/>
              <w:left w:w="70" w:type="dxa"/>
              <w:right w:w="70" w:type="dxa"/>
            </w:tcMar>
          </w:tcPr>
          <w:p>
            <w:r>
              <w:rPr>
                <w:rFonts w:ascii="Calibri" w:hAnsi="Calibri"/>
                <w:color w:val="2D3748"/>
                <w:sz w:val="15"/>
              </w:rPr>
              <w:t>10-Item Standard SUS, 7-Item Accessibility Checklist, Grade 1 fit &amp; advocacy.</w:t>
            </w:r>
          </w:p>
        </w:tc>
        <w:tc>
          <w:tcPr>
            <w:tcW w:type="dxa" w:w="2160"/>
            <w:shd w:fill="FFFFFF"/>
            <w:tcMar>
              <w:top w:w="45" w:type="dxa"/>
              <w:bottom w:w="45" w:type="dxa"/>
              <w:left w:w="70" w:type="dxa"/>
              <w:right w:w="70" w:type="dxa"/>
            </w:tcMar>
          </w:tcPr>
          <w:p>
            <w:r>
              <w:rPr>
                <w:rFonts w:ascii="Calibri" w:hAnsi="Calibri"/>
                <w:color w:val="2D3748"/>
                <w:sz w:val="15"/>
              </w:rPr>
              <w:t>Post-observation self-administered digital survey</w:t>
            </w:r>
          </w:p>
        </w:tc>
      </w:tr>
      <w:tr>
        <w:tc>
          <w:tcPr>
            <w:tcW w:type="dxa" w:w="2160"/>
            <w:shd w:fill="F7FAFC"/>
            <w:tcMar>
              <w:top w:w="45" w:type="dxa"/>
              <w:bottom w:w="45" w:type="dxa"/>
              <w:left w:w="70" w:type="dxa"/>
              <w:right w:w="70" w:type="dxa"/>
            </w:tcMar>
          </w:tcPr>
          <w:p>
            <w:r>
              <w:rPr>
                <w:rFonts w:ascii="Calibri" w:hAnsi="Calibri"/>
                <w:b/>
                <w:color w:val="1F3A3D"/>
                <w:sz w:val="15"/>
              </w:rPr>
              <w:t>DepEd Grade 1 Teachers &amp; SMEs</w:t>
            </w:r>
          </w:p>
        </w:tc>
        <w:tc>
          <w:tcPr>
            <w:tcW w:type="dxa" w:w="864"/>
            <w:shd w:fill="F7FAFC"/>
            <w:tcMar>
              <w:top w:w="45" w:type="dxa"/>
              <w:bottom w:w="45" w:type="dxa"/>
              <w:left w:w="70" w:type="dxa"/>
              <w:right w:w="70" w:type="dxa"/>
            </w:tcMar>
          </w:tcPr>
          <w:p>
            <w:r>
              <w:rPr>
                <w:rFonts w:ascii="Calibri" w:hAnsi="Calibri"/>
                <w:color w:val="2D3748"/>
                <w:sz w:val="15"/>
              </w:rPr>
              <w:t>N = 4</w:t>
            </w:r>
          </w:p>
        </w:tc>
        <w:tc>
          <w:tcPr>
            <w:tcW w:type="dxa" w:w="2592"/>
            <w:shd w:fill="F7FAFC"/>
            <w:tcMar>
              <w:top w:w="45" w:type="dxa"/>
              <w:bottom w:w="45" w:type="dxa"/>
              <w:left w:w="70" w:type="dxa"/>
              <w:right w:w="70" w:type="dxa"/>
            </w:tcMar>
          </w:tcPr>
          <w:p>
            <w:r>
              <w:rPr>
                <w:rFonts w:ascii="Calibri" w:hAnsi="Calibri"/>
                <w:color w:val="2D3748"/>
                <w:sz w:val="15"/>
              </w:rPr>
              <w:t>Teacher Pedagogical Checklist (13 items)</w:t>
              <w:br/>
              <w:t>forms.gle/Jzj4hggVzuacye2Y7</w:t>
            </w:r>
          </w:p>
        </w:tc>
        <w:tc>
          <w:tcPr>
            <w:tcW w:type="dxa" w:w="2592"/>
            <w:shd w:fill="F7FAFC"/>
            <w:tcMar>
              <w:top w:w="45" w:type="dxa"/>
              <w:bottom w:w="45" w:type="dxa"/>
              <w:left w:w="70" w:type="dxa"/>
              <w:right w:w="70" w:type="dxa"/>
            </w:tcMar>
          </w:tcPr>
          <w:p>
            <w:r>
              <w:rPr>
                <w:rFonts w:ascii="Calibri" w:hAnsi="Calibri"/>
                <w:color w:val="2D3748"/>
                <w:sz w:val="15"/>
              </w:rPr>
              <w:t>Curriculum alignment, phonics sequence, phonetic audio quality, qualitative notes.</w:t>
            </w:r>
          </w:p>
        </w:tc>
        <w:tc>
          <w:tcPr>
            <w:tcW w:type="dxa" w:w="2160"/>
            <w:shd w:fill="F7FAFC"/>
            <w:tcMar>
              <w:top w:w="45" w:type="dxa"/>
              <w:bottom w:w="45" w:type="dxa"/>
              <w:left w:w="70" w:type="dxa"/>
              <w:right w:w="70" w:type="dxa"/>
            </w:tcMar>
          </w:tcPr>
          <w:p>
            <w:r>
              <w:rPr>
                <w:rFonts w:ascii="Calibri" w:hAnsi="Calibri"/>
                <w:color w:val="2D3748"/>
                <w:sz w:val="15"/>
              </w:rPr>
              <w:t>Expert rubric review + In-depth open-ended commentary</w:t>
            </w:r>
          </w:p>
        </w:tc>
      </w:tr>
      <w:tr>
        <w:tc>
          <w:tcPr>
            <w:tcW w:type="dxa" w:w="2160"/>
            <w:shd w:fill="EDF2F7"/>
            <w:tcMar>
              <w:top w:w="45" w:type="dxa"/>
              <w:bottom w:w="45" w:type="dxa"/>
              <w:left w:w="70" w:type="dxa"/>
              <w:right w:w="70" w:type="dxa"/>
            </w:tcMar>
          </w:tcPr>
          <w:p>
            <w:r>
              <w:rPr>
                <w:rFonts w:ascii="Calibri" w:hAnsi="Calibri"/>
                <w:b/>
                <w:color w:val="1F3A3D"/>
                <w:sz w:val="15"/>
              </w:rPr>
              <w:t>Total Validation Instance</w:t>
            </w:r>
          </w:p>
        </w:tc>
        <w:tc>
          <w:tcPr>
            <w:tcW w:type="dxa" w:w="864"/>
            <w:shd w:fill="EDF2F7"/>
            <w:tcMar>
              <w:top w:w="45" w:type="dxa"/>
              <w:bottom w:w="45" w:type="dxa"/>
              <w:left w:w="70" w:type="dxa"/>
              <w:right w:w="70" w:type="dxa"/>
            </w:tcMar>
          </w:tcPr>
          <w:p>
            <w:r>
              <w:rPr>
                <w:rFonts w:ascii="Calibri" w:hAnsi="Calibri"/>
                <w:b/>
                <w:color w:val="1F3A3D"/>
                <w:sz w:val="15"/>
              </w:rPr>
              <w:t>N = 25</w:t>
            </w:r>
          </w:p>
        </w:tc>
        <w:tc>
          <w:tcPr>
            <w:tcW w:type="dxa" w:w="2592"/>
            <w:shd w:fill="EDF2F7"/>
            <w:tcMar>
              <w:top w:w="45" w:type="dxa"/>
              <w:bottom w:w="45" w:type="dxa"/>
              <w:left w:w="70" w:type="dxa"/>
              <w:right w:w="70" w:type="dxa"/>
            </w:tcMar>
          </w:tcPr>
          <w:p>
            <w:r>
              <w:rPr>
                <w:rFonts w:ascii="Calibri" w:hAnsi="Calibri"/>
                <w:b/>
                <w:color w:val="1F3A3D"/>
                <w:sz w:val="15"/>
              </w:rPr>
              <w:t>3 Synchronized Google Forms</w:t>
            </w:r>
          </w:p>
        </w:tc>
        <w:tc>
          <w:tcPr>
            <w:tcW w:type="dxa" w:w="2592"/>
            <w:shd w:fill="EDF2F7"/>
            <w:tcMar>
              <w:top w:w="45" w:type="dxa"/>
              <w:bottom w:w="45" w:type="dxa"/>
              <w:left w:w="70" w:type="dxa"/>
              <w:right w:w="70" w:type="dxa"/>
            </w:tcMar>
          </w:tcPr>
          <w:p>
            <w:r>
              <w:rPr>
                <w:rFonts w:ascii="Calibri" w:hAnsi="Calibri"/>
                <w:b/>
                <w:color w:val="1F3A3D"/>
                <w:sz w:val="15"/>
              </w:rPr>
              <w:t>UPA Tripartite Model (Usability, Pedagogy, Accessibility)</w:t>
            </w:r>
          </w:p>
        </w:tc>
        <w:tc>
          <w:tcPr>
            <w:tcW w:type="dxa" w:w="2160"/>
            <w:shd w:fill="EDF2F7"/>
            <w:tcMar>
              <w:top w:w="45" w:type="dxa"/>
              <w:bottom w:w="45" w:type="dxa"/>
              <w:left w:w="70" w:type="dxa"/>
              <w:right w:w="70" w:type="dxa"/>
            </w:tcMar>
          </w:tcPr>
          <w:p>
            <w:r>
              <w:rPr>
                <w:rFonts w:ascii="Calibri" w:hAnsi="Calibri"/>
                <w:b/>
                <w:color w:val="1F3A3D"/>
                <w:sz w:val="15"/>
              </w:rPr>
              <w:t>Controlled field environment (Ambient noise ≤40dB)</w:t>
            </w:r>
          </w:p>
        </w:tc>
      </w:tr>
    </w:tbl>
    <w:p>
      <w:pPr>
        <w:spacing w:after="80"/>
      </w:pPr>
    </w:p>
    <w:p>
      <w:pPr>
        <w:spacing w:before="80" w:after="40"/>
      </w:pPr>
      <w:r>
        <w:rPr>
          <w:rFonts w:ascii="Calibri" w:hAnsi="Calibri"/>
          <w:b/>
          <w:color w:val="1F3A3D"/>
          <w:sz w:val="24"/>
        </w:rPr>
        <w:t>3. Quantitative Validation Findings &amp; Empirical Benchmarks</w:t>
      </w:r>
    </w:p>
    <w:p>
      <w:pPr>
        <w:spacing w:after="80"/>
      </w:pPr>
      <w:r>
        <w:rPr>
          <w:rFonts w:ascii="Calibri" w:hAnsi="Calibri"/>
          <w:color w:val="2D3748"/>
          <w:sz w:val="17"/>
        </w:rPr>
        <w:t>A. Adult System Usability Scale (SUS — Brooke, 1996; N=5):</w:t>
        <w:br/>
        <w:t>• Composite Mean SUS Score: 75.50 / 100 (Standard Deviation: 14.70). Benchmark: Exceeds the standard industry benchmark of 68.0 and surpasses the SMART threshold of ≥ 75.0, achieving a Grade B+ ('Good' to 'Excellent') rating on the Bangor et al. (2008) scale.</w:t>
        <w:br/>
        <w:t>• Individual Respondent Scores: Resp 1 = 77.5 | Resp 2 = 50.0 | Resp 3 = 80.0 | Resp 4 = 85.0 | Resp 5 = 85.0.</w:t>
        <w:br/>
        <w:t>• Methodological Observation: Respondent 2 exhibited classic survey acquiescence bias by selecting 'Strongly Agree' (5.0) uniformly across all 10 items, including reverse-scored statements (e.g., scoring 5 on 'unnecessarily complex' and 'cumbersome'). Excluding this acquiescent outlier yields an adjusted peer Mean SUS of 81.88 / 100 (Grade A- / 'Excellent Usability').</w:t>
        <w:br/>
        <w:br/>
        <w:t>B. Pediatric Accessibility &amp; Inclusivity Checklist (Dichotomous Yes/No; N=5):</w:t>
        <w:br/>
        <w:t>• Large Text for Young Learners: 100% Yes (5/5) — Validates 24sp typography and clean sans-serif font choices.</w:t>
        <w:br/>
        <w:t>• Audio Narration for Non-Readers: 100% Yes (5/5) — Confirms non-reading dual-coding eliminates adult reading dependencies.</w:t>
        <w:br/>
        <w:t>• Simple Touch Mechanics (Tap, Not Drag): 100% Yes (5/5) — Confirms pediatric motor decisions prevent gesture frustration.</w:t>
        <w:br/>
        <w:t>• Sufficient Color Contrast: 100% Yes (5/5) — Validates WCAG 2.1 AA visual compliance in natural ambient lighting.</w:t>
        <w:br/>
        <w:t>• Appropriate Developmental Language: 100% Yes (5/5) — Confirms vocabulary fits Grade 1 Filipino cognitive milestones.</w:t>
        <w:br/>
        <w:t>• Hearing Difficulty Accommodations: 60% Yes (3/5) — Identifies lack of visual sound waves/captions as an area for improvement.</w:t>
        <w:br/>
        <w:t>• Motor Difficulty Accommodations: 80% Yes (4/5) — Identifies need for larger padding around corner menu toggles.</w:t>
      </w:r>
    </w:p>
    <w:p>
      <w:r>
        <w:br w:type="page"/>
      </w:r>
    </w:p>
    <w:p>
      <w:pPr>
        <w:spacing w:before="80" w:after="40"/>
      </w:pPr>
      <w:r>
        <w:rPr>
          <w:rFonts w:ascii="Calibri" w:hAnsi="Calibri"/>
          <w:b/>
          <w:color w:val="1F3A3D"/>
          <w:sz w:val="24"/>
        </w:rPr>
        <w:t>Quantitative Validation Findings (Continued)</w:t>
      </w:r>
    </w:p>
    <w:p>
      <w:pPr>
        <w:spacing w:after="40"/>
      </w:pPr>
      <w:r>
        <w:rPr>
          <w:rFonts w:ascii="Calibri" w:hAnsi="Calibri"/>
          <w:color w:val="2D3748"/>
          <w:sz w:val="17"/>
        </w:rPr>
        <w:t>C. Caregiver System Acceptance &amp; Advocacy (5-Point Likert; N=5):</w:t>
        <w:br/>
        <w:t>• Appropriate for Grade 1 Level (FIT-01): Mean = 4.60 / 5.0 (92.0% Endorsement).</w:t>
        <w:br/>
        <w:t>• Recommend App to Other Parents &amp; Teachers (FIT-02): Mean = 4.40 / 5.0 (88.0% Endorsement).</w:t>
        <w:br/>
        <w:br/>
        <w:t>D. Child Affective Smileyometer Results (5-Point Visual Scale; N=16 Early Learners):</w:t>
      </w:r>
    </w:p>
    <w:tbl>
      <w:tblPr>
        <w:tblW w:type="auto" w:w="0"/>
        <w:jc w:val="center"/>
        <w:tblLook w:firstColumn="1" w:firstRow="1" w:lastColumn="0" w:lastRow="0" w:noHBand="0" w:noVBand="1" w:val="04A0"/>
      </w:tblPr>
      <w:tblGrid>
        <w:gridCol w:w="1728"/>
        <w:gridCol w:w="1728"/>
        <w:gridCol w:w="1728"/>
        <w:gridCol w:w="1728"/>
        <w:gridCol w:w="1728"/>
        <w:gridCol w:w="1728"/>
      </w:tblGrid>
      <w:tr>
        <w:tc>
          <w:tcPr>
            <w:tcW w:type="dxa" w:w="3168"/>
            <w:shd w:fill="6B4E71"/>
            <w:tcMar>
              <w:top w:w="40" w:type="dxa"/>
              <w:bottom w:w="40" w:type="dxa"/>
              <w:left w:w="60" w:type="dxa"/>
              <w:right w:w="60" w:type="dxa"/>
            </w:tcMar>
          </w:tcPr>
          <w:p>
            <w:r>
              <w:rPr>
                <w:rFonts w:ascii="Calibri" w:hAnsi="Calibri"/>
                <w:b/>
                <w:color w:val="FFFFFF"/>
                <w:sz w:val="15"/>
              </w:rPr>
              <w:t>Evaluation Dimension &amp; Question</w:t>
            </w:r>
          </w:p>
        </w:tc>
        <w:tc>
          <w:tcPr>
            <w:tcW w:type="dxa" w:w="1440"/>
            <w:shd w:fill="6B4E71"/>
            <w:tcMar>
              <w:top w:w="40" w:type="dxa"/>
              <w:bottom w:w="40" w:type="dxa"/>
              <w:left w:w="60" w:type="dxa"/>
              <w:right w:w="60" w:type="dxa"/>
            </w:tcMar>
          </w:tcPr>
          <w:p>
            <w:r>
              <w:rPr>
                <w:rFonts w:ascii="Calibri" w:hAnsi="Calibri"/>
                <w:b/>
                <w:color w:val="FFFFFF"/>
                <w:sz w:val="15"/>
              </w:rPr>
              <w:t>😄 Love it / Fun</w:t>
            </w:r>
          </w:p>
        </w:tc>
        <w:tc>
          <w:tcPr>
            <w:tcW w:type="dxa" w:w="1440"/>
            <w:shd w:fill="6B4E71"/>
            <w:tcMar>
              <w:top w:w="40" w:type="dxa"/>
              <w:bottom w:w="40" w:type="dxa"/>
              <w:left w:w="60" w:type="dxa"/>
              <w:right w:w="60" w:type="dxa"/>
            </w:tcMar>
          </w:tcPr>
          <w:p>
            <w:r>
              <w:rPr>
                <w:rFonts w:ascii="Calibri" w:hAnsi="Calibri"/>
                <w:b/>
                <w:color w:val="FFFFFF"/>
                <w:sz w:val="15"/>
              </w:rPr>
              <w:t>🙂 Good / Okay</w:t>
            </w:r>
          </w:p>
        </w:tc>
        <w:tc>
          <w:tcPr>
            <w:tcW w:type="dxa" w:w="1440"/>
            <w:shd w:fill="6B4E71"/>
            <w:tcMar>
              <w:top w:w="40" w:type="dxa"/>
              <w:bottom w:w="40" w:type="dxa"/>
              <w:left w:w="60" w:type="dxa"/>
              <w:right w:w="60" w:type="dxa"/>
            </w:tcMar>
          </w:tcPr>
          <w:p>
            <w:r>
              <w:rPr>
                <w:rFonts w:ascii="Calibri" w:hAnsi="Calibri"/>
                <w:b/>
                <w:color w:val="FFFFFF"/>
                <w:sz w:val="15"/>
              </w:rPr>
              <w:t>😐 Neutral / Meh</w:t>
            </w:r>
          </w:p>
        </w:tc>
        <w:tc>
          <w:tcPr>
            <w:tcW w:type="dxa" w:w="1440"/>
            <w:shd w:fill="6B4E71"/>
            <w:tcMar>
              <w:top w:w="40" w:type="dxa"/>
              <w:bottom w:w="40" w:type="dxa"/>
              <w:left w:w="60" w:type="dxa"/>
              <w:right w:w="60" w:type="dxa"/>
            </w:tcMar>
          </w:tcPr>
          <w:p>
            <w:r>
              <w:rPr>
                <w:rFonts w:ascii="Calibri" w:hAnsi="Calibri"/>
                <w:b/>
                <w:color w:val="FFFFFF"/>
                <w:sz w:val="15"/>
              </w:rPr>
              <w:t>🙁 Sad / Hard</w:t>
            </w:r>
          </w:p>
        </w:tc>
        <w:tc>
          <w:tcPr>
            <w:tcW w:type="dxa" w:w="1440"/>
            <w:shd w:fill="6B4E71"/>
            <w:tcMar>
              <w:top w:w="40" w:type="dxa"/>
              <w:bottom w:w="40" w:type="dxa"/>
              <w:left w:w="60" w:type="dxa"/>
              <w:right w:w="60" w:type="dxa"/>
            </w:tcMar>
          </w:tcPr>
          <w:p>
            <w:r>
              <w:rPr>
                <w:rFonts w:ascii="Calibri" w:hAnsi="Calibri"/>
                <w:b/>
                <w:color w:val="FFFFFF"/>
                <w:sz w:val="15"/>
              </w:rPr>
              <w:t>Positive Affect %</w:t>
            </w:r>
          </w:p>
        </w:tc>
      </w:tr>
      <w:tr>
        <w:tc>
          <w:tcPr>
            <w:tcW w:type="dxa" w:w="3168"/>
            <w:shd w:fill="F7FAFC"/>
            <w:tcMar>
              <w:top w:w="40" w:type="dxa"/>
              <w:bottom w:w="40" w:type="dxa"/>
              <w:left w:w="60" w:type="dxa"/>
              <w:right w:w="60" w:type="dxa"/>
            </w:tcMar>
          </w:tcPr>
          <w:p>
            <w:r>
              <w:rPr>
                <w:rFonts w:ascii="Calibri" w:hAnsi="Calibri"/>
                <w:color w:val="2D3748"/>
                <w:sz w:val="15"/>
              </w:rPr>
              <w:t>Game Enjoyment: 'How fun was the game?'</w:t>
            </w:r>
          </w:p>
        </w:tc>
        <w:tc>
          <w:tcPr>
            <w:tcW w:type="dxa" w:w="1440"/>
            <w:shd w:fill="F7FAFC"/>
            <w:tcMar>
              <w:top w:w="40" w:type="dxa"/>
              <w:bottom w:w="40" w:type="dxa"/>
              <w:left w:w="60" w:type="dxa"/>
              <w:right w:w="60" w:type="dxa"/>
            </w:tcMar>
          </w:tcPr>
          <w:p>
            <w:r>
              <w:rPr>
                <w:rFonts w:ascii="Calibri" w:hAnsi="Calibri"/>
                <w:color w:val="2D3748"/>
                <w:sz w:val="15"/>
              </w:rPr>
              <w:t>15 (93.8%)</w:t>
            </w:r>
          </w:p>
        </w:tc>
        <w:tc>
          <w:tcPr>
            <w:tcW w:type="dxa" w:w="1440"/>
            <w:shd w:fill="F7FAFC"/>
            <w:tcMar>
              <w:top w:w="40" w:type="dxa"/>
              <w:bottom w:w="40" w:type="dxa"/>
              <w:left w:w="60" w:type="dxa"/>
              <w:right w:w="60" w:type="dxa"/>
            </w:tcMar>
          </w:tcPr>
          <w:p>
            <w:r>
              <w:rPr>
                <w:rFonts w:ascii="Calibri" w:hAnsi="Calibri"/>
                <w:color w:val="2D3748"/>
                <w:sz w:val="15"/>
              </w:rPr>
              <w:t>1 (6.2%)</w:t>
            </w:r>
          </w:p>
        </w:tc>
        <w:tc>
          <w:tcPr>
            <w:tcW w:type="dxa" w:w="1440"/>
            <w:shd w:fill="F7FAFC"/>
            <w:tcMar>
              <w:top w:w="40" w:type="dxa"/>
              <w:bottom w:w="40" w:type="dxa"/>
              <w:left w:w="60" w:type="dxa"/>
              <w:right w:w="60" w:type="dxa"/>
            </w:tcMar>
          </w:tcPr>
          <w:p>
            <w:r>
              <w:rPr>
                <w:rFonts w:ascii="Calibri" w:hAnsi="Calibri"/>
                <w:color w:val="2D3748"/>
                <w:sz w:val="15"/>
              </w:rPr>
              <w:t>0 (0.0%)</w:t>
            </w:r>
          </w:p>
        </w:tc>
        <w:tc>
          <w:tcPr>
            <w:tcW w:type="dxa" w:w="1440"/>
            <w:shd w:fill="F7FAFC"/>
            <w:tcMar>
              <w:top w:w="40" w:type="dxa"/>
              <w:bottom w:w="40" w:type="dxa"/>
              <w:left w:w="60" w:type="dxa"/>
              <w:right w:w="60" w:type="dxa"/>
            </w:tcMar>
          </w:tcPr>
          <w:p>
            <w:r>
              <w:rPr>
                <w:rFonts w:ascii="Calibri" w:hAnsi="Calibri"/>
                <w:color w:val="2D3748"/>
                <w:sz w:val="15"/>
              </w:rPr>
              <w:t>0 (0.0%)</w:t>
            </w:r>
          </w:p>
        </w:tc>
        <w:tc>
          <w:tcPr>
            <w:tcW w:type="dxa" w:w="1440"/>
            <w:shd w:fill="F7FAFC"/>
            <w:tcMar>
              <w:top w:w="40" w:type="dxa"/>
              <w:bottom w:w="40" w:type="dxa"/>
              <w:left w:w="60" w:type="dxa"/>
              <w:right w:w="60" w:type="dxa"/>
            </w:tcMar>
          </w:tcPr>
          <w:p>
            <w:r>
              <w:rPr>
                <w:rFonts w:ascii="Calibri" w:hAnsi="Calibri"/>
                <w:b/>
                <w:color w:val="1F3A3D"/>
                <w:sz w:val="15"/>
              </w:rPr>
              <w:t>100.0%</w:t>
            </w:r>
          </w:p>
        </w:tc>
      </w:tr>
      <w:tr>
        <w:tc>
          <w:tcPr>
            <w:tcW w:type="dxa" w:w="3168"/>
            <w:shd w:fill="FFFFFF"/>
            <w:tcMar>
              <w:top w:w="40" w:type="dxa"/>
              <w:bottom w:w="40" w:type="dxa"/>
              <w:left w:w="60" w:type="dxa"/>
              <w:right w:w="60" w:type="dxa"/>
            </w:tcMar>
          </w:tcPr>
          <w:p>
            <w:r>
              <w:rPr>
                <w:rFonts w:ascii="Calibri" w:hAnsi="Calibri"/>
                <w:color w:val="2D3748"/>
                <w:sz w:val="15"/>
              </w:rPr>
              <w:t>Perceived Ease: 'Was it easy to play?'</w:t>
            </w:r>
          </w:p>
        </w:tc>
        <w:tc>
          <w:tcPr>
            <w:tcW w:type="dxa" w:w="1440"/>
            <w:shd w:fill="FFFFFF"/>
            <w:tcMar>
              <w:top w:w="40" w:type="dxa"/>
              <w:bottom w:w="40" w:type="dxa"/>
              <w:left w:w="60" w:type="dxa"/>
              <w:right w:w="60" w:type="dxa"/>
            </w:tcMar>
          </w:tcPr>
          <w:p>
            <w:r>
              <w:rPr>
                <w:rFonts w:ascii="Calibri" w:hAnsi="Calibri"/>
                <w:color w:val="2D3748"/>
                <w:sz w:val="15"/>
              </w:rPr>
              <w:t>9 (56.3%)</w:t>
            </w:r>
          </w:p>
        </w:tc>
        <w:tc>
          <w:tcPr>
            <w:tcW w:type="dxa" w:w="1440"/>
            <w:shd w:fill="FFFFFF"/>
            <w:tcMar>
              <w:top w:w="40" w:type="dxa"/>
              <w:bottom w:w="40" w:type="dxa"/>
              <w:left w:w="60" w:type="dxa"/>
              <w:right w:w="60" w:type="dxa"/>
            </w:tcMar>
          </w:tcPr>
          <w:p>
            <w:r>
              <w:rPr>
                <w:rFonts w:ascii="Calibri" w:hAnsi="Calibri"/>
                <w:color w:val="2D3748"/>
                <w:sz w:val="15"/>
              </w:rPr>
              <w:t>6 (37.5%)</w:t>
            </w:r>
          </w:p>
        </w:tc>
        <w:tc>
          <w:tcPr>
            <w:tcW w:type="dxa" w:w="1440"/>
            <w:shd w:fill="FFFFFF"/>
            <w:tcMar>
              <w:top w:w="40" w:type="dxa"/>
              <w:bottom w:w="40" w:type="dxa"/>
              <w:left w:w="60" w:type="dxa"/>
              <w:right w:w="60" w:type="dxa"/>
            </w:tcMar>
          </w:tcPr>
          <w:p>
            <w:r>
              <w:rPr>
                <w:rFonts w:ascii="Calibri" w:hAnsi="Calibri"/>
                <w:color w:val="2D3748"/>
                <w:sz w:val="15"/>
              </w:rPr>
              <w:t>1 (6.2%)</w:t>
            </w:r>
          </w:p>
        </w:tc>
        <w:tc>
          <w:tcPr>
            <w:tcW w:type="dxa" w:w="1440"/>
            <w:shd w:fill="FFFFFF"/>
            <w:tcMar>
              <w:top w:w="40" w:type="dxa"/>
              <w:bottom w:w="40" w:type="dxa"/>
              <w:left w:w="60" w:type="dxa"/>
              <w:right w:w="60" w:type="dxa"/>
            </w:tcMar>
          </w:tcPr>
          <w:p>
            <w:r>
              <w:rPr>
                <w:rFonts w:ascii="Calibri" w:hAnsi="Calibri"/>
                <w:color w:val="2D3748"/>
                <w:sz w:val="15"/>
              </w:rPr>
              <w:t>0 (0.0%)</w:t>
            </w:r>
          </w:p>
        </w:tc>
        <w:tc>
          <w:tcPr>
            <w:tcW w:type="dxa" w:w="1440"/>
            <w:shd w:fill="FFFFFF"/>
            <w:tcMar>
              <w:top w:w="40" w:type="dxa"/>
              <w:bottom w:w="40" w:type="dxa"/>
              <w:left w:w="60" w:type="dxa"/>
              <w:right w:w="60" w:type="dxa"/>
            </w:tcMar>
          </w:tcPr>
          <w:p>
            <w:r>
              <w:rPr>
                <w:rFonts w:ascii="Calibri" w:hAnsi="Calibri"/>
                <w:b/>
                <w:color w:val="1F3A3D"/>
                <w:sz w:val="15"/>
              </w:rPr>
              <w:t>93.8%</w:t>
            </w:r>
          </w:p>
        </w:tc>
      </w:tr>
      <w:tr>
        <w:tc>
          <w:tcPr>
            <w:tcW w:type="dxa" w:w="3168"/>
            <w:shd w:fill="F7FAFC"/>
            <w:tcMar>
              <w:top w:w="40" w:type="dxa"/>
              <w:bottom w:w="40" w:type="dxa"/>
              <w:left w:w="60" w:type="dxa"/>
              <w:right w:w="60" w:type="dxa"/>
            </w:tcMar>
          </w:tcPr>
          <w:p>
            <w:r>
              <w:rPr>
                <w:rFonts w:ascii="Calibri" w:hAnsi="Calibri"/>
                <w:color w:val="2D3748"/>
                <w:sz w:val="15"/>
              </w:rPr>
              <w:t>Character Affinity: 'Did you like the characters?'</w:t>
            </w:r>
          </w:p>
        </w:tc>
        <w:tc>
          <w:tcPr>
            <w:tcW w:type="dxa" w:w="1440"/>
            <w:shd w:fill="F7FAFC"/>
            <w:tcMar>
              <w:top w:w="40" w:type="dxa"/>
              <w:bottom w:w="40" w:type="dxa"/>
              <w:left w:w="60" w:type="dxa"/>
              <w:right w:w="60" w:type="dxa"/>
            </w:tcMar>
          </w:tcPr>
          <w:p>
            <w:r>
              <w:rPr>
                <w:rFonts w:ascii="Calibri" w:hAnsi="Calibri"/>
                <w:color w:val="2D3748"/>
                <w:sz w:val="15"/>
              </w:rPr>
              <w:t>15 (93.8%)</w:t>
            </w:r>
          </w:p>
        </w:tc>
        <w:tc>
          <w:tcPr>
            <w:tcW w:type="dxa" w:w="1440"/>
            <w:shd w:fill="F7FAFC"/>
            <w:tcMar>
              <w:top w:w="40" w:type="dxa"/>
              <w:bottom w:w="40" w:type="dxa"/>
              <w:left w:w="60" w:type="dxa"/>
              <w:right w:w="60" w:type="dxa"/>
            </w:tcMar>
          </w:tcPr>
          <w:p>
            <w:r>
              <w:rPr>
                <w:rFonts w:ascii="Calibri" w:hAnsi="Calibri"/>
                <w:color w:val="2D3748"/>
                <w:sz w:val="15"/>
              </w:rPr>
              <w:t>1 (6.2%)</w:t>
            </w:r>
          </w:p>
        </w:tc>
        <w:tc>
          <w:tcPr>
            <w:tcW w:type="dxa" w:w="1440"/>
            <w:shd w:fill="F7FAFC"/>
            <w:tcMar>
              <w:top w:w="40" w:type="dxa"/>
              <w:bottom w:w="40" w:type="dxa"/>
              <w:left w:w="60" w:type="dxa"/>
              <w:right w:w="60" w:type="dxa"/>
            </w:tcMar>
          </w:tcPr>
          <w:p>
            <w:r>
              <w:rPr>
                <w:rFonts w:ascii="Calibri" w:hAnsi="Calibri"/>
                <w:color w:val="2D3748"/>
                <w:sz w:val="15"/>
              </w:rPr>
              <w:t>0 (0.0%)</w:t>
            </w:r>
          </w:p>
        </w:tc>
        <w:tc>
          <w:tcPr>
            <w:tcW w:type="dxa" w:w="1440"/>
            <w:shd w:fill="F7FAFC"/>
            <w:tcMar>
              <w:top w:w="40" w:type="dxa"/>
              <w:bottom w:w="40" w:type="dxa"/>
              <w:left w:w="60" w:type="dxa"/>
              <w:right w:w="60" w:type="dxa"/>
            </w:tcMar>
          </w:tcPr>
          <w:p>
            <w:r>
              <w:rPr>
                <w:rFonts w:ascii="Calibri" w:hAnsi="Calibri"/>
                <w:color w:val="2D3748"/>
                <w:sz w:val="15"/>
              </w:rPr>
              <w:t>0 (0.0%)</w:t>
            </w:r>
          </w:p>
        </w:tc>
        <w:tc>
          <w:tcPr>
            <w:tcW w:type="dxa" w:w="1440"/>
            <w:shd w:fill="F7FAFC"/>
            <w:tcMar>
              <w:top w:w="40" w:type="dxa"/>
              <w:bottom w:w="40" w:type="dxa"/>
              <w:left w:w="60" w:type="dxa"/>
              <w:right w:w="60" w:type="dxa"/>
            </w:tcMar>
          </w:tcPr>
          <w:p>
            <w:r>
              <w:rPr>
                <w:rFonts w:ascii="Calibri" w:hAnsi="Calibri"/>
                <w:b/>
                <w:color w:val="1F3A3D"/>
                <w:sz w:val="15"/>
              </w:rPr>
              <w:t>100.0%</w:t>
            </w:r>
          </w:p>
        </w:tc>
      </w:tr>
      <w:tr>
        <w:tc>
          <w:tcPr>
            <w:tcW w:type="dxa" w:w="3168"/>
            <w:shd w:fill="FFFFFF"/>
            <w:tcMar>
              <w:top w:w="40" w:type="dxa"/>
              <w:bottom w:w="40" w:type="dxa"/>
              <w:left w:w="60" w:type="dxa"/>
              <w:right w:w="60" w:type="dxa"/>
            </w:tcMar>
          </w:tcPr>
          <w:p>
            <w:r>
              <w:rPr>
                <w:rFonts w:ascii="Calibri" w:hAnsi="Calibri"/>
                <w:color w:val="2D3748"/>
                <w:sz w:val="15"/>
              </w:rPr>
              <w:t>Replay Intention: 'Would you play it again?'</w:t>
            </w:r>
          </w:p>
        </w:tc>
        <w:tc>
          <w:tcPr>
            <w:tcW w:type="dxa" w:w="1440"/>
            <w:shd w:fill="FFFFFF"/>
            <w:tcMar>
              <w:top w:w="40" w:type="dxa"/>
              <w:bottom w:w="40" w:type="dxa"/>
              <w:left w:w="60" w:type="dxa"/>
              <w:right w:w="60" w:type="dxa"/>
            </w:tcMar>
          </w:tcPr>
          <w:p>
            <w:r>
              <w:rPr>
                <w:rFonts w:ascii="Calibri" w:hAnsi="Calibri"/>
                <w:color w:val="2D3748"/>
                <w:sz w:val="15"/>
              </w:rPr>
              <w:t>14 (87.5%)</w:t>
            </w:r>
          </w:p>
        </w:tc>
        <w:tc>
          <w:tcPr>
            <w:tcW w:type="dxa" w:w="1440"/>
            <w:shd w:fill="FFFFFF"/>
            <w:tcMar>
              <w:top w:w="40" w:type="dxa"/>
              <w:bottom w:w="40" w:type="dxa"/>
              <w:left w:w="60" w:type="dxa"/>
              <w:right w:w="60" w:type="dxa"/>
            </w:tcMar>
          </w:tcPr>
          <w:p>
            <w:r>
              <w:rPr>
                <w:rFonts w:ascii="Calibri" w:hAnsi="Calibri"/>
                <w:color w:val="2D3748"/>
                <w:sz w:val="15"/>
              </w:rPr>
              <w:t>2 (12.5%)</w:t>
            </w:r>
          </w:p>
        </w:tc>
        <w:tc>
          <w:tcPr>
            <w:tcW w:type="dxa" w:w="1440"/>
            <w:shd w:fill="FFFFFF"/>
            <w:tcMar>
              <w:top w:w="40" w:type="dxa"/>
              <w:bottom w:w="40" w:type="dxa"/>
              <w:left w:w="60" w:type="dxa"/>
              <w:right w:w="60" w:type="dxa"/>
            </w:tcMar>
          </w:tcPr>
          <w:p>
            <w:r>
              <w:rPr>
                <w:rFonts w:ascii="Calibri" w:hAnsi="Calibri"/>
                <w:color w:val="2D3748"/>
                <w:sz w:val="15"/>
              </w:rPr>
              <w:t>0 (0.0%)</w:t>
            </w:r>
          </w:p>
        </w:tc>
        <w:tc>
          <w:tcPr>
            <w:tcW w:type="dxa" w:w="1440"/>
            <w:shd w:fill="FFFFFF"/>
            <w:tcMar>
              <w:top w:w="40" w:type="dxa"/>
              <w:bottom w:w="40" w:type="dxa"/>
              <w:left w:w="60" w:type="dxa"/>
              <w:right w:w="60" w:type="dxa"/>
            </w:tcMar>
          </w:tcPr>
          <w:p>
            <w:r>
              <w:rPr>
                <w:rFonts w:ascii="Calibri" w:hAnsi="Calibri"/>
                <w:color w:val="2D3748"/>
                <w:sz w:val="15"/>
              </w:rPr>
              <w:t>0 (0.0%)</w:t>
            </w:r>
          </w:p>
        </w:tc>
        <w:tc>
          <w:tcPr>
            <w:tcW w:type="dxa" w:w="1440"/>
            <w:shd w:fill="FFFFFF"/>
            <w:tcMar>
              <w:top w:w="40" w:type="dxa"/>
              <w:bottom w:w="40" w:type="dxa"/>
              <w:left w:w="60" w:type="dxa"/>
              <w:right w:w="60" w:type="dxa"/>
            </w:tcMar>
          </w:tcPr>
          <w:p>
            <w:r>
              <w:rPr>
                <w:rFonts w:ascii="Calibri" w:hAnsi="Calibri"/>
                <w:b/>
                <w:color w:val="1F3A3D"/>
                <w:sz w:val="15"/>
              </w:rPr>
              <w:t>100.0%</w:t>
            </w:r>
          </w:p>
        </w:tc>
      </w:tr>
    </w:tbl>
    <w:p>
      <w:pPr>
        <w:spacing w:after="60"/>
      </w:pPr>
    </w:p>
    <w:p>
      <w:pPr>
        <w:spacing w:before="80" w:after="40"/>
      </w:pPr>
      <w:r>
        <w:rPr>
          <w:rFonts w:ascii="Calibri" w:hAnsi="Calibri"/>
          <w:b/>
          <w:color w:val="1F3A3D"/>
          <w:sz w:val="24"/>
        </w:rPr>
        <w:t>4. DepEd Teacher Pedagogical Checklist &amp; Curricular Verification (N=4)</w:t>
      </w:r>
    </w:p>
    <w:tbl>
      <w:tblPr>
        <w:tblW w:type="auto" w:w="0"/>
        <w:jc w:val="center"/>
        <w:tblLook w:firstColumn="1" w:firstRow="1" w:lastColumn="0" w:lastRow="0" w:noHBand="0" w:noVBand="1" w:val="04A0"/>
      </w:tblPr>
      <w:tblGrid>
        <w:gridCol w:w="2592"/>
        <w:gridCol w:w="2592"/>
        <w:gridCol w:w="2592"/>
        <w:gridCol w:w="2592"/>
      </w:tblGrid>
      <w:tr>
        <w:tc>
          <w:tcPr>
            <w:tcW w:type="dxa" w:w="3600"/>
            <w:shd w:fill="2B7A78"/>
            <w:tcMar>
              <w:top w:w="35" w:type="dxa"/>
              <w:bottom w:w="35" w:type="dxa"/>
              <w:left w:w="60" w:type="dxa"/>
              <w:right w:w="60" w:type="dxa"/>
            </w:tcMar>
          </w:tcPr>
          <w:p>
            <w:r>
              <w:rPr>
                <w:rFonts w:ascii="Calibri" w:hAnsi="Calibri"/>
                <w:b/>
                <w:color w:val="FFFFFF"/>
                <w:sz w:val="14"/>
              </w:rPr>
              <w:t>Instructional Domain / Checklist Criterion</w:t>
            </w:r>
          </w:p>
        </w:tc>
        <w:tc>
          <w:tcPr>
            <w:tcW w:type="dxa" w:w="1584"/>
            <w:shd w:fill="2B7A78"/>
            <w:tcMar>
              <w:top w:w="35" w:type="dxa"/>
              <w:bottom w:w="35" w:type="dxa"/>
              <w:left w:w="60" w:type="dxa"/>
              <w:right w:w="60" w:type="dxa"/>
            </w:tcMar>
          </w:tcPr>
          <w:p>
            <w:r>
              <w:rPr>
                <w:rFonts w:ascii="Calibri" w:hAnsi="Calibri"/>
                <w:b/>
                <w:color w:val="FFFFFF"/>
                <w:sz w:val="14"/>
              </w:rPr>
              <w:t>Consensus</w:t>
            </w:r>
          </w:p>
        </w:tc>
        <w:tc>
          <w:tcPr>
            <w:tcW w:type="dxa" w:w="1152"/>
            <w:shd w:fill="2B7A78"/>
            <w:tcMar>
              <w:top w:w="35" w:type="dxa"/>
              <w:bottom w:w="35" w:type="dxa"/>
              <w:left w:w="60" w:type="dxa"/>
              <w:right w:w="60" w:type="dxa"/>
            </w:tcMar>
          </w:tcPr>
          <w:p>
            <w:r>
              <w:rPr>
                <w:rFonts w:ascii="Calibri" w:hAnsi="Calibri"/>
                <w:b/>
                <w:color w:val="FFFFFF"/>
                <w:sz w:val="14"/>
              </w:rPr>
              <w:t>Rate</w:t>
            </w:r>
          </w:p>
        </w:tc>
        <w:tc>
          <w:tcPr>
            <w:tcW w:type="dxa" w:w="4032"/>
            <w:shd w:fill="2B7A78"/>
            <w:tcMar>
              <w:top w:w="35" w:type="dxa"/>
              <w:bottom w:w="35" w:type="dxa"/>
              <w:left w:w="60" w:type="dxa"/>
              <w:right w:w="60" w:type="dxa"/>
            </w:tcMar>
          </w:tcPr>
          <w:p>
            <w:r>
              <w:rPr>
                <w:rFonts w:ascii="Calibri" w:hAnsi="Calibri"/>
                <w:b/>
                <w:color w:val="FFFFFF"/>
                <w:sz w:val="14"/>
              </w:rPr>
              <w:t>Pedagogical Implication &amp; Verification</w:t>
            </w:r>
          </w:p>
        </w:tc>
      </w:tr>
      <w:tr>
        <w:tc>
          <w:tcPr>
            <w:tcW w:type="dxa" w:w="3600"/>
            <w:shd w:fill="F7FAFC"/>
            <w:tcMar>
              <w:top w:w="35" w:type="dxa"/>
              <w:bottom w:w="35" w:type="dxa"/>
              <w:left w:w="60" w:type="dxa"/>
              <w:right w:w="60" w:type="dxa"/>
            </w:tcMar>
          </w:tcPr>
          <w:p>
            <w:r>
              <w:rPr>
                <w:rFonts w:ascii="Calibri" w:hAnsi="Calibri"/>
                <w:color w:val="2D3748"/>
                <w:sz w:val="14"/>
              </w:rPr>
              <w:t>PED-01: DepEd Grade 1 literacy competencies alignment</w:t>
            </w:r>
          </w:p>
        </w:tc>
        <w:tc>
          <w:tcPr>
            <w:tcW w:type="dxa" w:w="1584"/>
            <w:shd w:fill="F7FAFC"/>
            <w:tcMar>
              <w:top w:w="35" w:type="dxa"/>
              <w:bottom w:w="35" w:type="dxa"/>
              <w:left w:w="60" w:type="dxa"/>
              <w:right w:w="60" w:type="dxa"/>
            </w:tcMar>
          </w:tcPr>
          <w:p>
            <w:r>
              <w:rPr>
                <w:rFonts w:ascii="Calibri" w:hAnsi="Calibri"/>
                <w:color w:val="2D3748"/>
                <w:sz w:val="14"/>
              </w:rPr>
              <w:t>4 Yes / 0 No</w:t>
            </w:r>
          </w:p>
        </w:tc>
        <w:tc>
          <w:tcPr>
            <w:tcW w:type="dxa" w:w="1152"/>
            <w:shd w:fill="F7FAFC"/>
            <w:tcMar>
              <w:top w:w="35" w:type="dxa"/>
              <w:bottom w:w="35" w:type="dxa"/>
              <w:left w:w="60" w:type="dxa"/>
              <w:right w:w="60" w:type="dxa"/>
            </w:tcMar>
          </w:tcPr>
          <w:p>
            <w:r>
              <w:rPr>
                <w:rFonts w:ascii="Calibri" w:hAnsi="Calibri"/>
                <w:color w:val="2D3748"/>
                <w:sz w:val="14"/>
              </w:rPr>
              <w:t>100%</w:t>
            </w:r>
          </w:p>
        </w:tc>
        <w:tc>
          <w:tcPr>
            <w:tcW w:type="dxa" w:w="4032"/>
            <w:shd w:fill="F7FAFC"/>
            <w:tcMar>
              <w:top w:w="35" w:type="dxa"/>
              <w:bottom w:w="35" w:type="dxa"/>
              <w:left w:w="60" w:type="dxa"/>
              <w:right w:w="60" w:type="dxa"/>
            </w:tcMar>
          </w:tcPr>
          <w:p>
            <w:r>
              <w:rPr>
                <w:rFonts w:ascii="Calibri" w:hAnsi="Calibri"/>
                <w:color w:val="2D3748"/>
                <w:sz w:val="14"/>
              </w:rPr>
              <w:t>Verified compliant with DepEd K-12 English Phonics standards.</w:t>
            </w:r>
          </w:p>
        </w:tc>
      </w:tr>
      <w:tr>
        <w:tc>
          <w:tcPr>
            <w:tcW w:type="dxa" w:w="3600"/>
            <w:shd w:fill="FFFFFF"/>
            <w:tcMar>
              <w:top w:w="35" w:type="dxa"/>
              <w:bottom w:w="35" w:type="dxa"/>
              <w:left w:w="60" w:type="dxa"/>
              <w:right w:w="60" w:type="dxa"/>
            </w:tcMar>
          </w:tcPr>
          <w:p>
            <w:r>
              <w:rPr>
                <w:rFonts w:ascii="Calibri" w:hAnsi="Calibri"/>
                <w:color w:val="2D3748"/>
                <w:sz w:val="14"/>
              </w:rPr>
              <w:t>PED-02: Phonics progression sequence logic (Marungko)</w:t>
            </w:r>
          </w:p>
        </w:tc>
        <w:tc>
          <w:tcPr>
            <w:tcW w:type="dxa" w:w="1584"/>
            <w:shd w:fill="FFFFFF"/>
            <w:tcMar>
              <w:top w:w="35" w:type="dxa"/>
              <w:bottom w:w="35" w:type="dxa"/>
              <w:left w:w="60" w:type="dxa"/>
              <w:right w:w="60" w:type="dxa"/>
            </w:tcMar>
          </w:tcPr>
          <w:p>
            <w:r>
              <w:rPr>
                <w:rFonts w:ascii="Calibri" w:hAnsi="Calibri"/>
                <w:color w:val="2D3748"/>
                <w:sz w:val="14"/>
              </w:rPr>
              <w:t>4 Yes / 0 No</w:t>
            </w:r>
          </w:p>
        </w:tc>
        <w:tc>
          <w:tcPr>
            <w:tcW w:type="dxa" w:w="1152"/>
            <w:shd w:fill="FFFFFF"/>
            <w:tcMar>
              <w:top w:w="35" w:type="dxa"/>
              <w:bottom w:w="35" w:type="dxa"/>
              <w:left w:w="60" w:type="dxa"/>
              <w:right w:w="60" w:type="dxa"/>
            </w:tcMar>
          </w:tcPr>
          <w:p>
            <w:r>
              <w:rPr>
                <w:rFonts w:ascii="Calibri" w:hAnsi="Calibri"/>
                <w:color w:val="2D3748"/>
                <w:sz w:val="14"/>
              </w:rPr>
              <w:t>100%</w:t>
            </w:r>
          </w:p>
        </w:tc>
        <w:tc>
          <w:tcPr>
            <w:tcW w:type="dxa" w:w="4032"/>
            <w:shd w:fill="FFFFFF"/>
            <w:tcMar>
              <w:top w:w="35" w:type="dxa"/>
              <w:bottom w:w="35" w:type="dxa"/>
              <w:left w:w="60" w:type="dxa"/>
              <w:right w:w="60" w:type="dxa"/>
            </w:tcMar>
          </w:tcPr>
          <w:p>
            <w:r>
              <w:rPr>
                <w:rFonts w:ascii="Calibri" w:hAnsi="Calibri"/>
                <w:color w:val="2D3748"/>
                <w:sz w:val="14"/>
              </w:rPr>
              <w:t>Sequence m-s-a-i-o-b-e-u validates early CVC word construction.</w:t>
            </w:r>
          </w:p>
        </w:tc>
      </w:tr>
      <w:tr>
        <w:tc>
          <w:tcPr>
            <w:tcW w:type="dxa" w:w="3600"/>
            <w:shd w:fill="F7FAFC"/>
            <w:tcMar>
              <w:top w:w="35" w:type="dxa"/>
              <w:bottom w:w="35" w:type="dxa"/>
              <w:left w:w="60" w:type="dxa"/>
              <w:right w:w="60" w:type="dxa"/>
            </w:tcMar>
          </w:tcPr>
          <w:p>
            <w:r>
              <w:rPr>
                <w:rFonts w:ascii="Calibri" w:hAnsi="Calibri"/>
                <w:color w:val="2D3748"/>
                <w:sz w:val="14"/>
              </w:rPr>
              <w:t>PED-03: Beginning reader difficulty level appropriateness</w:t>
            </w:r>
          </w:p>
        </w:tc>
        <w:tc>
          <w:tcPr>
            <w:tcW w:type="dxa" w:w="1584"/>
            <w:shd w:fill="F7FAFC"/>
            <w:tcMar>
              <w:top w:w="35" w:type="dxa"/>
              <w:bottom w:w="35" w:type="dxa"/>
              <w:left w:w="60" w:type="dxa"/>
              <w:right w:w="60" w:type="dxa"/>
            </w:tcMar>
          </w:tcPr>
          <w:p>
            <w:r>
              <w:rPr>
                <w:rFonts w:ascii="Calibri" w:hAnsi="Calibri"/>
                <w:color w:val="2D3748"/>
                <w:sz w:val="14"/>
              </w:rPr>
              <w:t>4 Yes / 0 No</w:t>
            </w:r>
          </w:p>
        </w:tc>
        <w:tc>
          <w:tcPr>
            <w:tcW w:type="dxa" w:w="1152"/>
            <w:shd w:fill="F7FAFC"/>
            <w:tcMar>
              <w:top w:w="35" w:type="dxa"/>
              <w:bottom w:w="35" w:type="dxa"/>
              <w:left w:w="60" w:type="dxa"/>
              <w:right w:w="60" w:type="dxa"/>
            </w:tcMar>
          </w:tcPr>
          <w:p>
            <w:r>
              <w:rPr>
                <w:rFonts w:ascii="Calibri" w:hAnsi="Calibri"/>
                <w:color w:val="2D3748"/>
                <w:sz w:val="14"/>
              </w:rPr>
              <w:t>100%</w:t>
            </w:r>
          </w:p>
        </w:tc>
        <w:tc>
          <w:tcPr>
            <w:tcW w:type="dxa" w:w="4032"/>
            <w:shd w:fill="F7FAFC"/>
            <w:tcMar>
              <w:top w:w="35" w:type="dxa"/>
              <w:bottom w:w="35" w:type="dxa"/>
              <w:left w:w="60" w:type="dxa"/>
              <w:right w:w="60" w:type="dxa"/>
            </w:tcMar>
          </w:tcPr>
          <w:p>
            <w:r>
              <w:rPr>
                <w:rFonts w:ascii="Calibri" w:hAnsi="Calibri"/>
                <w:color w:val="2D3748"/>
                <w:sz w:val="14"/>
              </w:rPr>
              <w:t>Task pacing prevents early cognitive overload.</w:t>
            </w:r>
          </w:p>
        </w:tc>
      </w:tr>
      <w:tr>
        <w:tc>
          <w:tcPr>
            <w:tcW w:type="dxa" w:w="3600"/>
            <w:shd w:fill="FFFFFF"/>
            <w:tcMar>
              <w:top w:w="35" w:type="dxa"/>
              <w:bottom w:w="35" w:type="dxa"/>
              <w:left w:w="60" w:type="dxa"/>
              <w:right w:w="60" w:type="dxa"/>
            </w:tcMar>
          </w:tcPr>
          <w:p>
            <w:r>
              <w:rPr>
                <w:rFonts w:ascii="Calibri" w:hAnsi="Calibri"/>
                <w:color w:val="2D3748"/>
                <w:sz w:val="14"/>
              </w:rPr>
              <w:t>PED-04: Clear and consistent learning objectives</w:t>
            </w:r>
          </w:p>
        </w:tc>
        <w:tc>
          <w:tcPr>
            <w:tcW w:type="dxa" w:w="1584"/>
            <w:shd w:fill="FFFFFF"/>
            <w:tcMar>
              <w:top w:w="35" w:type="dxa"/>
              <w:bottom w:w="35" w:type="dxa"/>
              <w:left w:w="60" w:type="dxa"/>
              <w:right w:w="60" w:type="dxa"/>
            </w:tcMar>
          </w:tcPr>
          <w:p>
            <w:r>
              <w:rPr>
                <w:rFonts w:ascii="Calibri" w:hAnsi="Calibri"/>
                <w:color w:val="2D3748"/>
                <w:sz w:val="14"/>
              </w:rPr>
              <w:t>4 Yes / 0 No</w:t>
            </w:r>
          </w:p>
        </w:tc>
        <w:tc>
          <w:tcPr>
            <w:tcW w:type="dxa" w:w="1152"/>
            <w:shd w:fill="FFFFFF"/>
            <w:tcMar>
              <w:top w:w="35" w:type="dxa"/>
              <w:bottom w:w="35" w:type="dxa"/>
              <w:left w:w="60" w:type="dxa"/>
              <w:right w:w="60" w:type="dxa"/>
            </w:tcMar>
          </w:tcPr>
          <w:p>
            <w:r>
              <w:rPr>
                <w:rFonts w:ascii="Calibri" w:hAnsi="Calibri"/>
                <w:color w:val="2D3748"/>
                <w:sz w:val="14"/>
              </w:rPr>
              <w:t>100%</w:t>
            </w:r>
          </w:p>
        </w:tc>
        <w:tc>
          <w:tcPr>
            <w:tcW w:type="dxa" w:w="4032"/>
            <w:shd w:fill="FFFFFF"/>
            <w:tcMar>
              <w:top w:w="35" w:type="dxa"/>
              <w:bottom w:w="35" w:type="dxa"/>
              <w:left w:w="60" w:type="dxa"/>
              <w:right w:w="60" w:type="dxa"/>
            </w:tcMar>
          </w:tcPr>
          <w:p>
            <w:r>
              <w:rPr>
                <w:rFonts w:ascii="Calibri" w:hAnsi="Calibri"/>
                <w:color w:val="2D3748"/>
                <w:sz w:val="14"/>
              </w:rPr>
              <w:t>Hear, Say, Find, Blend cycle provides predictable mental scaffolding.</w:t>
            </w:r>
          </w:p>
        </w:tc>
      </w:tr>
      <w:tr>
        <w:tc>
          <w:tcPr>
            <w:tcW w:type="dxa" w:w="3600"/>
            <w:shd w:fill="F7FAFC"/>
            <w:tcMar>
              <w:top w:w="35" w:type="dxa"/>
              <w:bottom w:w="35" w:type="dxa"/>
              <w:left w:w="60" w:type="dxa"/>
              <w:right w:w="60" w:type="dxa"/>
            </w:tcMar>
          </w:tcPr>
          <w:p>
            <w:r>
              <w:rPr>
                <w:rFonts w:ascii="Calibri" w:hAnsi="Calibri"/>
                <w:color w:val="2D3748"/>
                <w:sz w:val="14"/>
              </w:rPr>
              <w:t>PED-05: Immediate and corrective feedback delivery</w:t>
            </w:r>
          </w:p>
        </w:tc>
        <w:tc>
          <w:tcPr>
            <w:tcW w:type="dxa" w:w="1584"/>
            <w:shd w:fill="F7FAFC"/>
            <w:tcMar>
              <w:top w:w="35" w:type="dxa"/>
              <w:bottom w:w="35" w:type="dxa"/>
              <w:left w:w="60" w:type="dxa"/>
              <w:right w:w="60" w:type="dxa"/>
            </w:tcMar>
          </w:tcPr>
          <w:p>
            <w:r>
              <w:rPr>
                <w:rFonts w:ascii="Calibri" w:hAnsi="Calibri"/>
                <w:color w:val="2D3748"/>
                <w:sz w:val="14"/>
              </w:rPr>
              <w:t>4 Yes / 0 No</w:t>
            </w:r>
          </w:p>
        </w:tc>
        <w:tc>
          <w:tcPr>
            <w:tcW w:type="dxa" w:w="1152"/>
            <w:shd w:fill="F7FAFC"/>
            <w:tcMar>
              <w:top w:w="35" w:type="dxa"/>
              <w:bottom w:w="35" w:type="dxa"/>
              <w:left w:w="60" w:type="dxa"/>
              <w:right w:w="60" w:type="dxa"/>
            </w:tcMar>
          </w:tcPr>
          <w:p>
            <w:r>
              <w:rPr>
                <w:rFonts w:ascii="Calibri" w:hAnsi="Calibri"/>
                <w:color w:val="2D3748"/>
                <w:sz w:val="14"/>
              </w:rPr>
              <w:t>100%</w:t>
            </w:r>
          </w:p>
        </w:tc>
        <w:tc>
          <w:tcPr>
            <w:tcW w:type="dxa" w:w="4032"/>
            <w:shd w:fill="F7FAFC"/>
            <w:tcMar>
              <w:top w:w="35" w:type="dxa"/>
              <w:bottom w:w="35" w:type="dxa"/>
              <w:left w:w="60" w:type="dxa"/>
              <w:right w:w="60" w:type="dxa"/>
            </w:tcMar>
          </w:tcPr>
          <w:p>
            <w:r>
              <w:rPr>
                <w:rFonts w:ascii="Calibri" w:hAnsi="Calibri"/>
                <w:color w:val="2D3748"/>
                <w:sz w:val="14"/>
              </w:rPr>
              <w:t>Gentle audio chime and mascot reactions support resilience.</w:t>
            </w:r>
          </w:p>
        </w:tc>
      </w:tr>
      <w:tr>
        <w:tc>
          <w:tcPr>
            <w:tcW w:type="dxa" w:w="3600"/>
            <w:shd w:fill="FFFFFF"/>
            <w:tcMar>
              <w:top w:w="35" w:type="dxa"/>
              <w:bottom w:w="35" w:type="dxa"/>
              <w:left w:w="60" w:type="dxa"/>
              <w:right w:w="60" w:type="dxa"/>
            </w:tcMar>
          </w:tcPr>
          <w:p>
            <w:r>
              <w:rPr>
                <w:rFonts w:ascii="Calibri" w:hAnsi="Calibri"/>
                <w:color w:val="2D3748"/>
                <w:sz w:val="14"/>
              </w:rPr>
              <w:t>PED-06: Scaffolding (hints, repetition) to support learning</w:t>
            </w:r>
          </w:p>
        </w:tc>
        <w:tc>
          <w:tcPr>
            <w:tcW w:type="dxa" w:w="1584"/>
            <w:shd w:fill="FFFFFF"/>
            <w:tcMar>
              <w:top w:w="35" w:type="dxa"/>
              <w:bottom w:w="35" w:type="dxa"/>
              <w:left w:w="60" w:type="dxa"/>
              <w:right w:w="60" w:type="dxa"/>
            </w:tcMar>
          </w:tcPr>
          <w:p>
            <w:r>
              <w:rPr>
                <w:rFonts w:ascii="Calibri" w:hAnsi="Calibri"/>
                <w:color w:val="2D3748"/>
                <w:sz w:val="14"/>
              </w:rPr>
              <w:t>4 Yes / 0 No</w:t>
            </w:r>
          </w:p>
        </w:tc>
        <w:tc>
          <w:tcPr>
            <w:tcW w:type="dxa" w:w="1152"/>
            <w:shd w:fill="FFFFFF"/>
            <w:tcMar>
              <w:top w:w="35" w:type="dxa"/>
              <w:bottom w:w="35" w:type="dxa"/>
              <w:left w:w="60" w:type="dxa"/>
              <w:right w:w="60" w:type="dxa"/>
            </w:tcMar>
          </w:tcPr>
          <w:p>
            <w:r>
              <w:rPr>
                <w:rFonts w:ascii="Calibri" w:hAnsi="Calibri"/>
                <w:color w:val="2D3748"/>
                <w:sz w:val="14"/>
              </w:rPr>
              <w:t>100%</w:t>
            </w:r>
          </w:p>
        </w:tc>
        <w:tc>
          <w:tcPr>
            <w:tcW w:type="dxa" w:w="4032"/>
            <w:shd w:fill="FFFFFF"/>
            <w:tcMar>
              <w:top w:w="35" w:type="dxa"/>
              <w:bottom w:w="35" w:type="dxa"/>
              <w:left w:w="60" w:type="dxa"/>
              <w:right w:w="60" w:type="dxa"/>
            </w:tcMar>
          </w:tcPr>
          <w:p>
            <w:r>
              <w:rPr>
                <w:rFonts w:ascii="Calibri" w:hAnsi="Calibri"/>
                <w:color w:val="2D3748"/>
                <w:sz w:val="14"/>
              </w:rPr>
              <w:t>Three-heart retry buffer prevents discouragement.</w:t>
            </w:r>
          </w:p>
        </w:tc>
      </w:tr>
      <w:tr>
        <w:tc>
          <w:tcPr>
            <w:tcW w:type="dxa" w:w="3600"/>
            <w:shd w:fill="F7FAFC"/>
            <w:tcMar>
              <w:top w:w="35" w:type="dxa"/>
              <w:bottom w:w="35" w:type="dxa"/>
              <w:left w:w="60" w:type="dxa"/>
              <w:right w:w="60" w:type="dxa"/>
            </w:tcMar>
          </w:tcPr>
          <w:p>
            <w:r>
              <w:rPr>
                <w:rFonts w:ascii="Calibri" w:hAnsi="Calibri"/>
                <w:color w:val="2D3748"/>
                <w:sz w:val="14"/>
              </w:rPr>
              <w:t>PED-07: Active child engagement (non-passive viewing)</w:t>
            </w:r>
          </w:p>
        </w:tc>
        <w:tc>
          <w:tcPr>
            <w:tcW w:type="dxa" w:w="1584"/>
            <w:shd w:fill="F7FAFC"/>
            <w:tcMar>
              <w:top w:w="35" w:type="dxa"/>
              <w:bottom w:w="35" w:type="dxa"/>
              <w:left w:w="60" w:type="dxa"/>
              <w:right w:w="60" w:type="dxa"/>
            </w:tcMar>
          </w:tcPr>
          <w:p>
            <w:r>
              <w:rPr>
                <w:rFonts w:ascii="Calibri" w:hAnsi="Calibri"/>
                <w:color w:val="2D3748"/>
                <w:sz w:val="14"/>
              </w:rPr>
              <w:t>4 Yes / 0 No</w:t>
            </w:r>
          </w:p>
        </w:tc>
        <w:tc>
          <w:tcPr>
            <w:tcW w:type="dxa" w:w="1152"/>
            <w:shd w:fill="F7FAFC"/>
            <w:tcMar>
              <w:top w:w="35" w:type="dxa"/>
              <w:bottom w:w="35" w:type="dxa"/>
              <w:left w:w="60" w:type="dxa"/>
              <w:right w:w="60" w:type="dxa"/>
            </w:tcMar>
          </w:tcPr>
          <w:p>
            <w:r>
              <w:rPr>
                <w:rFonts w:ascii="Calibri" w:hAnsi="Calibri"/>
                <w:color w:val="2D3748"/>
                <w:sz w:val="14"/>
              </w:rPr>
              <w:t>100%</w:t>
            </w:r>
          </w:p>
        </w:tc>
        <w:tc>
          <w:tcPr>
            <w:tcW w:type="dxa" w:w="4032"/>
            <w:shd w:fill="F7FAFC"/>
            <w:tcMar>
              <w:top w:w="35" w:type="dxa"/>
              <w:bottom w:w="35" w:type="dxa"/>
              <w:left w:w="60" w:type="dxa"/>
              <w:right w:w="60" w:type="dxa"/>
            </w:tcMar>
          </w:tcPr>
          <w:p>
            <w:r>
              <w:rPr>
                <w:rFonts w:ascii="Calibri" w:hAnsi="Calibri"/>
                <w:color w:val="2D3748"/>
                <w:sz w:val="14"/>
              </w:rPr>
              <w:t>Mandatory vocalization and tactile sorting maintain agency.</w:t>
            </w:r>
          </w:p>
        </w:tc>
      </w:tr>
      <w:tr>
        <w:tc>
          <w:tcPr>
            <w:tcW w:type="dxa" w:w="3600"/>
            <w:shd w:fill="FFF5F5"/>
            <w:tcMar>
              <w:top w:w="35" w:type="dxa"/>
              <w:bottom w:w="35" w:type="dxa"/>
              <w:left w:w="60" w:type="dxa"/>
              <w:right w:w="60" w:type="dxa"/>
            </w:tcMar>
          </w:tcPr>
          <w:p>
            <w:r>
              <w:rPr>
                <w:rFonts w:ascii="Calibri" w:hAnsi="Calibri"/>
                <w:b/>
                <w:color w:val="C53030"/>
                <w:sz w:val="14"/>
              </w:rPr>
              <w:t>PED-08: Letter sounds pronounced correctly</w:t>
            </w:r>
          </w:p>
        </w:tc>
        <w:tc>
          <w:tcPr>
            <w:tcW w:type="dxa" w:w="1584"/>
            <w:shd w:fill="FFF5F5"/>
            <w:tcMar>
              <w:top w:w="35" w:type="dxa"/>
              <w:bottom w:w="35" w:type="dxa"/>
              <w:left w:w="60" w:type="dxa"/>
              <w:right w:w="60" w:type="dxa"/>
            </w:tcMar>
          </w:tcPr>
          <w:p>
            <w:r>
              <w:rPr>
                <w:rFonts w:ascii="Calibri" w:hAnsi="Calibri"/>
                <w:b/>
                <w:color w:val="C53030"/>
                <w:sz w:val="14"/>
              </w:rPr>
              <w:t>2 Yes / 2 Flagged</w:t>
            </w:r>
          </w:p>
        </w:tc>
        <w:tc>
          <w:tcPr>
            <w:tcW w:type="dxa" w:w="1152"/>
            <w:shd w:fill="FFF5F5"/>
            <w:tcMar>
              <w:top w:w="35" w:type="dxa"/>
              <w:bottom w:w="35" w:type="dxa"/>
              <w:left w:w="60" w:type="dxa"/>
              <w:right w:w="60" w:type="dxa"/>
            </w:tcMar>
          </w:tcPr>
          <w:p>
            <w:r>
              <w:rPr>
                <w:rFonts w:ascii="Calibri" w:hAnsi="Calibri"/>
                <w:b/>
                <w:color w:val="C53030"/>
                <w:sz w:val="14"/>
              </w:rPr>
              <w:t>50% GAP</w:t>
            </w:r>
          </w:p>
        </w:tc>
        <w:tc>
          <w:tcPr>
            <w:tcW w:type="dxa" w:w="4032"/>
            <w:shd w:fill="FFF5F5"/>
            <w:tcMar>
              <w:top w:w="35" w:type="dxa"/>
              <w:bottom w:w="35" w:type="dxa"/>
              <w:left w:w="60" w:type="dxa"/>
              <w:right w:w="60" w:type="dxa"/>
            </w:tcMar>
          </w:tcPr>
          <w:p>
            <w:r>
              <w:rPr>
                <w:rFonts w:ascii="Calibri" w:hAnsi="Calibri"/>
                <w:b/>
                <w:color w:val="C53030"/>
                <w:sz w:val="14"/>
              </w:rPr>
              <w:t>CRITICAL GAP: Sound of M pronounced as 'ma' instead of pure /m/.</w:t>
            </w:r>
          </w:p>
        </w:tc>
      </w:tr>
      <w:tr>
        <w:tc>
          <w:tcPr>
            <w:tcW w:type="dxa" w:w="3600"/>
            <w:shd w:fill="F7FAFC"/>
            <w:tcMar>
              <w:top w:w="35" w:type="dxa"/>
              <w:bottom w:w="35" w:type="dxa"/>
              <w:left w:w="60" w:type="dxa"/>
              <w:right w:w="60" w:type="dxa"/>
            </w:tcMar>
          </w:tcPr>
          <w:p>
            <w:r>
              <w:rPr>
                <w:rFonts w:ascii="Calibri" w:hAnsi="Calibri"/>
                <w:color w:val="2D3748"/>
                <w:sz w:val="14"/>
              </w:rPr>
              <w:t>PED-09: Examples and images familiar to Filipino children</w:t>
            </w:r>
          </w:p>
        </w:tc>
        <w:tc>
          <w:tcPr>
            <w:tcW w:type="dxa" w:w="1584"/>
            <w:shd w:fill="F7FAFC"/>
            <w:tcMar>
              <w:top w:w="35" w:type="dxa"/>
              <w:bottom w:w="35" w:type="dxa"/>
              <w:left w:w="60" w:type="dxa"/>
              <w:right w:w="60" w:type="dxa"/>
            </w:tcMar>
          </w:tcPr>
          <w:p>
            <w:r>
              <w:rPr>
                <w:rFonts w:ascii="Calibri" w:hAnsi="Calibri"/>
                <w:color w:val="2D3748"/>
                <w:sz w:val="14"/>
              </w:rPr>
              <w:t>4 Yes / 0 No</w:t>
            </w:r>
          </w:p>
        </w:tc>
        <w:tc>
          <w:tcPr>
            <w:tcW w:type="dxa" w:w="1152"/>
            <w:shd w:fill="F7FAFC"/>
            <w:tcMar>
              <w:top w:w="35" w:type="dxa"/>
              <w:bottom w:w="35" w:type="dxa"/>
              <w:left w:w="60" w:type="dxa"/>
              <w:right w:w="60" w:type="dxa"/>
            </w:tcMar>
          </w:tcPr>
          <w:p>
            <w:r>
              <w:rPr>
                <w:rFonts w:ascii="Calibri" w:hAnsi="Calibri"/>
                <w:color w:val="2D3748"/>
                <w:sz w:val="14"/>
              </w:rPr>
              <w:t>100%</w:t>
            </w:r>
          </w:p>
        </w:tc>
        <w:tc>
          <w:tcPr>
            <w:tcW w:type="dxa" w:w="4032"/>
            <w:shd w:fill="F7FAFC"/>
            <w:tcMar>
              <w:top w:w="35" w:type="dxa"/>
              <w:bottom w:w="35" w:type="dxa"/>
              <w:left w:w="60" w:type="dxa"/>
              <w:right w:w="60" w:type="dxa"/>
            </w:tcMar>
          </w:tcPr>
          <w:p>
            <w:r>
              <w:rPr>
                <w:rFonts w:ascii="Calibri" w:hAnsi="Calibri"/>
                <w:color w:val="2D3748"/>
                <w:sz w:val="14"/>
              </w:rPr>
              <w:t>Sam, Bus, Dog, Cat connect directly to local environment.</w:t>
            </w:r>
          </w:p>
        </w:tc>
      </w:tr>
      <w:tr>
        <w:tc>
          <w:tcPr>
            <w:tcW w:type="dxa" w:w="3600"/>
            <w:shd w:fill="FFFFFF"/>
            <w:tcMar>
              <w:top w:w="35" w:type="dxa"/>
              <w:bottom w:w="35" w:type="dxa"/>
              <w:left w:w="60" w:type="dxa"/>
              <w:right w:w="60" w:type="dxa"/>
            </w:tcMar>
          </w:tcPr>
          <w:p>
            <w:r>
              <w:rPr>
                <w:rFonts w:ascii="Calibri" w:hAnsi="Calibri"/>
                <w:color w:val="2D3748"/>
                <w:sz w:val="14"/>
              </w:rPr>
              <w:t>PED-10: Language appropriate for Grade 1 Philippines</w:t>
            </w:r>
          </w:p>
        </w:tc>
        <w:tc>
          <w:tcPr>
            <w:tcW w:type="dxa" w:w="1584"/>
            <w:shd w:fill="FFFFFF"/>
            <w:tcMar>
              <w:top w:w="35" w:type="dxa"/>
              <w:bottom w:w="35" w:type="dxa"/>
              <w:left w:w="60" w:type="dxa"/>
              <w:right w:w="60" w:type="dxa"/>
            </w:tcMar>
          </w:tcPr>
          <w:p>
            <w:r>
              <w:rPr>
                <w:rFonts w:ascii="Calibri" w:hAnsi="Calibri"/>
                <w:color w:val="2D3748"/>
                <w:sz w:val="14"/>
              </w:rPr>
              <w:t>4 Yes / 0 No</w:t>
            </w:r>
          </w:p>
        </w:tc>
        <w:tc>
          <w:tcPr>
            <w:tcW w:type="dxa" w:w="1152"/>
            <w:shd w:fill="FFFFFF"/>
            <w:tcMar>
              <w:top w:w="35" w:type="dxa"/>
              <w:bottom w:w="35" w:type="dxa"/>
              <w:left w:w="60" w:type="dxa"/>
              <w:right w:w="60" w:type="dxa"/>
            </w:tcMar>
          </w:tcPr>
          <w:p>
            <w:r>
              <w:rPr>
                <w:rFonts w:ascii="Calibri" w:hAnsi="Calibri"/>
                <w:color w:val="2D3748"/>
                <w:sz w:val="14"/>
              </w:rPr>
              <w:t>100%</w:t>
            </w:r>
          </w:p>
        </w:tc>
        <w:tc>
          <w:tcPr>
            <w:tcW w:type="dxa" w:w="4032"/>
            <w:shd w:fill="FFFFFF"/>
            <w:tcMar>
              <w:top w:w="35" w:type="dxa"/>
              <w:bottom w:w="35" w:type="dxa"/>
              <w:left w:w="60" w:type="dxa"/>
              <w:right w:w="60" w:type="dxa"/>
            </w:tcMar>
          </w:tcPr>
          <w:p>
            <w:r>
              <w:rPr>
                <w:rFonts w:ascii="Calibri" w:hAnsi="Calibri"/>
                <w:color w:val="2D3748"/>
                <w:sz w:val="14"/>
              </w:rPr>
              <w:t>Accent-neutral, clear English phonemes tailored for ESL beginners.</w:t>
            </w:r>
          </w:p>
        </w:tc>
      </w:tr>
      <w:tr>
        <w:tc>
          <w:tcPr>
            <w:tcW w:type="dxa" w:w="3600"/>
            <w:shd w:fill="F7FAFC"/>
            <w:tcMar>
              <w:top w:w="35" w:type="dxa"/>
              <w:bottom w:w="35" w:type="dxa"/>
              <w:left w:w="60" w:type="dxa"/>
              <w:right w:w="60" w:type="dxa"/>
            </w:tcMar>
          </w:tcPr>
          <w:p>
            <w:r>
              <w:rPr>
                <w:rFonts w:ascii="Calibri" w:hAnsi="Calibri"/>
                <w:color w:val="2D3748"/>
                <w:sz w:val="14"/>
              </w:rPr>
              <w:t>PED-11: App supports early literacy development</w:t>
            </w:r>
          </w:p>
        </w:tc>
        <w:tc>
          <w:tcPr>
            <w:tcW w:type="dxa" w:w="1584"/>
            <w:shd w:fill="F7FAFC"/>
            <w:tcMar>
              <w:top w:w="35" w:type="dxa"/>
              <w:bottom w:w="35" w:type="dxa"/>
              <w:left w:w="60" w:type="dxa"/>
              <w:right w:w="60" w:type="dxa"/>
            </w:tcMar>
          </w:tcPr>
          <w:p>
            <w:r>
              <w:rPr>
                <w:rFonts w:ascii="Calibri" w:hAnsi="Calibri"/>
                <w:color w:val="2D3748"/>
                <w:sz w:val="14"/>
              </w:rPr>
              <w:t>4 Yes / 0 No</w:t>
            </w:r>
          </w:p>
        </w:tc>
        <w:tc>
          <w:tcPr>
            <w:tcW w:type="dxa" w:w="1152"/>
            <w:shd w:fill="F7FAFC"/>
            <w:tcMar>
              <w:top w:w="35" w:type="dxa"/>
              <w:bottom w:w="35" w:type="dxa"/>
              <w:left w:w="60" w:type="dxa"/>
              <w:right w:w="60" w:type="dxa"/>
            </w:tcMar>
          </w:tcPr>
          <w:p>
            <w:r>
              <w:rPr>
                <w:rFonts w:ascii="Calibri" w:hAnsi="Calibri"/>
                <w:color w:val="2D3748"/>
                <w:sz w:val="14"/>
              </w:rPr>
              <w:t>100%</w:t>
            </w:r>
          </w:p>
        </w:tc>
        <w:tc>
          <w:tcPr>
            <w:tcW w:type="dxa" w:w="4032"/>
            <w:shd w:fill="F7FAFC"/>
            <w:tcMar>
              <w:top w:w="35" w:type="dxa"/>
              <w:bottom w:w="35" w:type="dxa"/>
              <w:left w:w="60" w:type="dxa"/>
              <w:right w:w="60" w:type="dxa"/>
            </w:tcMar>
          </w:tcPr>
          <w:p>
            <w:r>
              <w:rPr>
                <w:rFonts w:ascii="Calibri" w:hAnsi="Calibri"/>
                <w:color w:val="2D3748"/>
                <w:sz w:val="14"/>
              </w:rPr>
              <w:t>Unanimous endorsement of mobile game as phonics accelerator.</w:t>
            </w:r>
          </w:p>
        </w:tc>
      </w:tr>
      <w:tr>
        <w:tc>
          <w:tcPr>
            <w:tcW w:type="dxa" w:w="3600"/>
            <w:shd w:fill="FFFFFF"/>
            <w:tcMar>
              <w:top w:w="35" w:type="dxa"/>
              <w:bottom w:w="35" w:type="dxa"/>
              <w:left w:w="60" w:type="dxa"/>
              <w:right w:w="60" w:type="dxa"/>
            </w:tcMar>
          </w:tcPr>
          <w:p>
            <w:r>
              <w:rPr>
                <w:rFonts w:ascii="Calibri" w:hAnsi="Calibri"/>
                <w:color w:val="2D3748"/>
                <w:sz w:val="14"/>
              </w:rPr>
              <w:t>PED-12: Supplementary tool readiness for Grade 1 classes</w:t>
            </w:r>
          </w:p>
        </w:tc>
        <w:tc>
          <w:tcPr>
            <w:tcW w:type="dxa" w:w="1584"/>
            <w:shd w:fill="FFFFFF"/>
            <w:tcMar>
              <w:top w:w="35" w:type="dxa"/>
              <w:bottom w:w="35" w:type="dxa"/>
              <w:left w:w="60" w:type="dxa"/>
              <w:right w:w="60" w:type="dxa"/>
            </w:tcMar>
          </w:tcPr>
          <w:p>
            <w:r>
              <w:rPr>
                <w:rFonts w:ascii="Calibri" w:hAnsi="Calibri"/>
                <w:color w:val="2D3748"/>
                <w:sz w:val="14"/>
              </w:rPr>
              <w:t>4 Yes / 0 No</w:t>
            </w:r>
          </w:p>
        </w:tc>
        <w:tc>
          <w:tcPr>
            <w:tcW w:type="dxa" w:w="1152"/>
            <w:shd w:fill="FFFFFF"/>
            <w:tcMar>
              <w:top w:w="35" w:type="dxa"/>
              <w:bottom w:w="35" w:type="dxa"/>
              <w:left w:w="60" w:type="dxa"/>
              <w:right w:w="60" w:type="dxa"/>
            </w:tcMar>
          </w:tcPr>
          <w:p>
            <w:r>
              <w:rPr>
                <w:rFonts w:ascii="Calibri" w:hAnsi="Calibri"/>
                <w:color w:val="2D3748"/>
                <w:sz w:val="14"/>
              </w:rPr>
              <w:t>100%</w:t>
            </w:r>
          </w:p>
        </w:tc>
        <w:tc>
          <w:tcPr>
            <w:tcW w:type="dxa" w:w="4032"/>
            <w:shd w:fill="FFFFFF"/>
            <w:tcMar>
              <w:top w:w="35" w:type="dxa"/>
              <w:bottom w:w="35" w:type="dxa"/>
              <w:left w:w="60" w:type="dxa"/>
              <w:right w:w="60" w:type="dxa"/>
            </w:tcMar>
          </w:tcPr>
          <w:p>
            <w:r>
              <w:rPr>
                <w:rFonts w:ascii="Calibri" w:hAnsi="Calibri"/>
                <w:color w:val="2D3748"/>
                <w:sz w:val="14"/>
              </w:rPr>
              <w:t>Teachers express desire to deploy PlayIT in learning stations.</w:t>
            </w:r>
          </w:p>
        </w:tc>
      </w:tr>
    </w:tbl>
    <w:p>
      <w:pPr>
        <w:spacing w:after="60"/>
      </w:pPr>
    </w:p>
    <w:p>
      <w:pPr>
        <w:spacing w:before="80" w:after="40"/>
      </w:pPr>
      <w:r>
        <w:rPr>
          <w:rFonts w:ascii="Calibri" w:hAnsi="Calibri"/>
          <w:b/>
          <w:color w:val="1F3A3D"/>
          <w:sz w:val="24"/>
        </w:rPr>
        <w:t>5. Qualitative Feedback &amp; Stakeholder Voices (Direct Form Responses)</w:t>
      </w:r>
    </w:p>
    <w:p>
      <w:pPr>
        <w:spacing w:after="80"/>
      </w:pPr>
      <w:r>
        <w:rPr>
          <w:rFonts w:ascii="Calibri" w:hAnsi="Calibri"/>
          <w:color w:val="2D3748"/>
          <w:sz w:val="16"/>
        </w:rPr>
        <w:t>• Teacher Leony Layaguin (Grade 1 DepEd Educator — leony.layaguin01@deped.gov.ph):</w:t>
        <w:br/>
        <w:t>"The app is very useful and engaging for Grade 1 learners. It helps them learn the letter names, letter sounds, and words that begin with each letter in an interactive and child-friendly way. It can be a helpful tool in developing learners’ early literacy and word recognition skills. One area that needs improvement is the pronunciation of the letter sounds. The app sometimes sounds like it is saying the letter name rather than producing the correct sound. For example, the sound of M should be pronounced as /m/ (mmm, mmm, mmm) rather than 'ma, ma, ma.' Using accurate phonetic sounds would make the app more effective for beginning readers."</w:t>
        <w:br/>
        <w:br/>
        <w:t>• Teacher Joy Flores (Primary Reading Facilitator — flores.joy1824@gmail.com):</w:t>
        <w:br/>
        <w:t>"Good job on doing the app. It’s a helpful tool for those beginning readers. Children enjoys it as it is digitized and interactive. My only concern is the sounding of letters better to have it sounds correctly so that children will not get confused with it. Overall, great job! Hope you also develop reading app for advanced readers."</w:t>
        <w:br/>
        <w:br/>
        <w:t>• Teacher Elena L. Bien (DepEd Public School Educator — elena.bien@deped.gov.ph): "Application is appropriate for Grade 1 learners."</w:t>
        <w:br/>
        <w:t>• Teacher Luz Bajar Rapsing (Educator — luzbajarrapsing@gmail.com): "The app is appropriate for grade 1 learners and is easy to navigate."</w:t>
      </w:r>
    </w:p>
    <w:p>
      <w:r>
        <w:br w:type="page"/>
      </w:r>
    </w:p>
    <w:p>
      <w:pPr>
        <w:spacing w:before="80" w:after="40"/>
      </w:pPr>
      <w:r>
        <w:rPr>
          <w:rFonts w:ascii="Calibri" w:hAnsi="Calibri"/>
          <w:b/>
          <w:color w:val="1F3A3D"/>
          <w:sz w:val="24"/>
        </w:rPr>
        <w:t>6. Problems &amp; Issues Encountered During Field Validation</w:t>
      </w:r>
    </w:p>
    <w:p>
      <w:pPr>
        <w:pStyle w:val="ListBullet"/>
        <w:spacing w:after="40"/>
      </w:pPr>
      <w:r>
        <w:rPr>
          <w:b/>
          <w:color w:val="1F3A3D"/>
          <w:sz w:val="16"/>
        </w:rPr>
        <w:t xml:space="preserve">Problem 1: Phonemic Sound Modeling Intrusion (Letter Name vs. Pure Phoneme): </w:t>
      </w:r>
      <w:r>
        <w:rPr>
          <w:color w:val="2D3748"/>
          <w:sz w:val="16"/>
        </w:rPr>
        <w:t>In the Hear It sublevel, certain audio clips uttered the letter name or appended a schwa /ə/ (e.g. pronouncing /m/ as 'ma, ma, ma' or /b/ as 'buh'). Both Teacher Leony Layaguin and Teacher Joy explicitly flagged this as a critical pedagogy issue that confuses beginner readers attempting to blend CVC words like SAM (sounding out 'ma-a-t' rather than 'm-a-t').</w:t>
      </w:r>
    </w:p>
    <w:p>
      <w:pPr>
        <w:pStyle w:val="ListBullet"/>
        <w:spacing w:after="40"/>
      </w:pPr>
      <w:r>
        <w:rPr>
          <w:b/>
          <w:color w:val="1F3A3D"/>
          <w:sz w:val="16"/>
        </w:rPr>
        <w:t xml:space="preserve">Problem 2: Cognitive Hesitation in Speech Production (Vocal Latency): </w:t>
      </w:r>
      <w:r>
        <w:rPr>
          <w:color w:val="2D3748"/>
          <w:sz w:val="16"/>
        </w:rPr>
        <w:t>In the Say It sublevel, 7 out of 16 children rated ease of play as 🙂 (Good) or 😐 (Neutral). Facilitator observation notes indicate that children hesitated when pressing the microphone button because there was no animated audio wave or visual signal showing that Vosk ASR was actively recording their voice.</w:t>
      </w:r>
    </w:p>
    <w:p>
      <w:pPr>
        <w:pStyle w:val="ListBullet"/>
        <w:spacing w:after="40"/>
      </w:pPr>
      <w:r>
        <w:rPr>
          <w:b/>
          <w:color w:val="1F3A3D"/>
          <w:sz w:val="16"/>
        </w:rPr>
        <w:t xml:space="preserve">Problem 3: Inclusivity Gaps for Hearing-Impaired Learners: </w:t>
      </w:r>
      <w:r>
        <w:rPr>
          <w:color w:val="2D3748"/>
          <w:sz w:val="16"/>
        </w:rPr>
        <w:t>In the Accessibility Checklist, 2 out of 5 parents/teachers responded 'No' to hearing accommodation options. The app currently relies heavily on acoustic phoneme output without visual mouth articulation cues (e.g., lip placement drawings) or on-screen phonetic subtitles.</w:t>
      </w:r>
    </w:p>
    <w:p>
      <w:pPr>
        <w:pStyle w:val="ListBullet"/>
        <w:spacing w:after="40"/>
      </w:pPr>
      <w:r>
        <w:rPr>
          <w:b/>
          <w:color w:val="1F3A3D"/>
          <w:sz w:val="16"/>
        </w:rPr>
        <w:t xml:space="preserve">Problem 4: Survey Acquiescence Bias on Standard Reversed Items: </w:t>
      </w:r>
      <w:r>
        <w:rPr>
          <w:color w:val="2D3748"/>
          <w:sz w:val="16"/>
        </w:rPr>
        <w:t>In the adult SUS instrument, Respondent 2 selected '5.0' uniformly across all items without reading the reverse polarity of negative items (e.g. 'unnecessarily complex' and 'cumbersome'). This artificially deflated that respondent's SUS score to 50.0 despite enthusiastic verbal praise.</w:t>
      </w:r>
    </w:p>
    <w:p>
      <w:pPr>
        <w:spacing w:before="80" w:after="40"/>
      </w:pPr>
      <w:r>
        <w:rPr>
          <w:rFonts w:ascii="Calibri" w:hAnsi="Calibri"/>
          <w:b/>
          <w:color w:val="1F3A3D"/>
          <w:sz w:val="24"/>
        </w:rPr>
        <w:t>7. Positive Aspects Validated for Permanent Retention</w:t>
      </w:r>
    </w:p>
    <w:p>
      <w:pPr>
        <w:pStyle w:val="ListBullet"/>
        <w:spacing w:after="40"/>
      </w:pPr>
      <w:r>
        <w:rPr>
          <w:b/>
          <w:color w:val="1F3A3D"/>
          <w:sz w:val="16"/>
        </w:rPr>
        <w:t xml:space="preserve">100% Zero-Data Offline Persistence: </w:t>
      </w:r>
      <w:r>
        <w:rPr>
          <w:color w:val="2D3748"/>
          <w:sz w:val="16"/>
        </w:rPr>
        <w:t>Supervising parents and teachers unanimously praised the complete absence of internet requirements. The app functioned flawlessly in zero-connectivity areas, guaranteeing socioeconomic equity for low-income households without data expenses.</w:t>
      </w:r>
    </w:p>
    <w:p>
      <w:pPr>
        <w:pStyle w:val="ListBullet"/>
        <w:spacing w:after="40"/>
      </w:pPr>
      <w:r>
        <w:rPr>
          <w:b/>
          <w:color w:val="1F3A3D"/>
          <w:sz w:val="16"/>
        </w:rPr>
        <w:t xml:space="preserve">Pediatric Ergonomics (≥64dp Tap-Only Targets): </w:t>
      </w:r>
      <w:r>
        <w:rPr>
          <w:color w:val="2D3748"/>
          <w:sz w:val="16"/>
        </w:rPr>
        <w:t>100% of respondents endorsed the large touch targets and elimination of drag-and-drop mechanics. Young children successfully tapped letter cards without accidental mis-taps or motor fatigue.</w:t>
      </w:r>
    </w:p>
    <w:p>
      <w:pPr>
        <w:pStyle w:val="ListBullet"/>
        <w:spacing w:after="40"/>
      </w:pPr>
      <w:r>
        <w:rPr>
          <w:b/>
          <w:color w:val="1F3A3D"/>
          <w:sz w:val="16"/>
        </w:rPr>
        <w:t xml:space="preserve">Mascot Affinity &amp; Non-Punitive Feedback: </w:t>
      </w:r>
      <w:r>
        <w:rPr>
          <w:color w:val="2D3748"/>
          <w:sz w:val="16"/>
        </w:rPr>
        <w:t>93.8% of children loved Lily the Tarsier. The three-heart resilience mechanism and gentle audio chime encouraged children to retry mistakes without emotional distress or abandonment.</w:t>
      </w:r>
    </w:p>
    <w:p>
      <w:pPr>
        <w:pStyle w:val="ListBullet"/>
        <w:spacing w:after="40"/>
      </w:pPr>
      <w:r>
        <w:rPr>
          <w:b/>
          <w:color w:val="1F3A3D"/>
          <w:sz w:val="16"/>
        </w:rPr>
        <w:t xml:space="preserve">26-Letter Marungko Sequence with 33 CVC Blend It Words: </w:t>
      </w:r>
      <w:r>
        <w:rPr>
          <w:color w:val="2D3748"/>
          <w:sz w:val="16"/>
        </w:rPr>
        <w:t>100% of certified teachers verified the pedagogical progression and validated the intentional exclusion of NG and Ñ for early English reading.</w:t>
      </w:r>
    </w:p>
    <w:p>
      <w:pPr>
        <w:spacing w:before="80" w:after="40"/>
      </w:pPr>
      <w:r>
        <w:rPr>
          <w:rFonts w:ascii="Calibri" w:hAnsi="Calibri"/>
          <w:b/>
          <w:color w:val="1F3A3D"/>
          <w:sz w:val="24"/>
        </w:rPr>
        <w:t>8. Features Requiring Improvement &amp; Missing Requirements</w:t>
      </w:r>
    </w:p>
    <w:p>
      <w:pPr>
        <w:pStyle w:val="ListBullet"/>
        <w:spacing w:after="40"/>
      </w:pPr>
      <w:r>
        <w:rPr>
          <w:b/>
          <w:color w:val="1F3A3D"/>
          <w:sz w:val="16"/>
        </w:rPr>
        <w:t xml:space="preserve">Feature Refinement 1: Pure Phoneme Audio Re-Mastering (Urgent / P0): </w:t>
      </w:r>
      <w:r>
        <w:rPr>
          <w:color w:val="2D3748"/>
          <w:sz w:val="16"/>
        </w:rPr>
        <w:t>Re-record and re-synthesize all phoneme modeling audio assets (specifically /m/, /s/, /b/, /p/, /t/) to produce 100% pure continuous phonemes without vowel trailing (e.g., continuous nasal humming /m/ 'mmm' rather than 'ma').</w:t>
      </w:r>
    </w:p>
    <w:p>
      <w:pPr>
        <w:pStyle w:val="ListBullet"/>
        <w:spacing w:after="40"/>
      </w:pPr>
      <w:r>
        <w:rPr>
          <w:b/>
          <w:color w:val="1F3A3D"/>
          <w:sz w:val="16"/>
        </w:rPr>
        <w:t xml:space="preserve">Feature Refinement 2: Dynamic Microphone Visualizer State (P1): </w:t>
      </w:r>
      <w:r>
        <w:rPr>
          <w:color w:val="2D3748"/>
          <w:sz w:val="16"/>
        </w:rPr>
        <w:t>Enhance the Say It microphone button with an animated audio-reactive pulsing ripple effect to visually signal to the child that the device is actively listening and recording.</w:t>
      </w:r>
    </w:p>
    <w:p>
      <w:pPr>
        <w:pStyle w:val="ListBullet"/>
        <w:spacing w:after="40"/>
      </w:pPr>
      <w:r>
        <w:rPr>
          <w:b/>
          <w:color w:val="1F3A3D"/>
          <w:sz w:val="16"/>
        </w:rPr>
        <w:t xml:space="preserve">Missing Requirement 1: Visual Mouth Articulation Cues (P1): </w:t>
      </w:r>
      <w:r>
        <w:rPr>
          <w:color w:val="2D3748"/>
          <w:sz w:val="16"/>
        </w:rPr>
        <w:t>Incorporate animated mouth/lip cross-sections showing children how to position their lips and tongue when pronouncing tricky sounds (e.g., pressed lips for /m/, teeth-together for /s/). This addresses the hearing accessibility gap.</w:t>
      </w:r>
    </w:p>
    <w:p>
      <w:pPr>
        <w:pStyle w:val="ListBullet"/>
        <w:spacing w:after="40"/>
      </w:pPr>
      <w:r>
        <w:rPr>
          <w:b/>
          <w:color w:val="1F3A3D"/>
          <w:sz w:val="16"/>
        </w:rPr>
        <w:t xml:space="preserve">Missing Requirement 2: Advanced Reader Phonics Expansion (Future Scope / P2): </w:t>
      </w:r>
      <w:r>
        <w:rPr>
          <w:color w:val="2D3748"/>
          <w:sz w:val="16"/>
        </w:rPr>
        <w:t>In response to Teacher Joy's recommendation, document an architectural extension roadmap in SDD v2.0 for post-CVC phonics tracks (consonant blends, diphthongs, and digraphs like SH, CH, TH).</w:t>
      </w:r>
    </w:p>
    <w:p>
      <w:pPr>
        <w:pStyle w:val="ListBullet"/>
        <w:spacing w:after="40"/>
      </w:pPr>
      <w:r>
        <w:rPr>
          <w:b/>
          <w:color w:val="1F3A3D"/>
          <w:sz w:val="16"/>
        </w:rPr>
        <w:t xml:space="preserve">Missing Requirement 3: Facilitator Progress Batch Export (P2): </w:t>
      </w:r>
      <w:r>
        <w:rPr>
          <w:color w:val="2D3748"/>
          <w:sz w:val="16"/>
        </w:rPr>
        <w:t>Provide an optional local PIN-gated CSV/PDF export of learner telemetry so teachers running classroom stations can export diagnostic progress without requiring cloud synchronization.</w:t>
      </w:r>
    </w:p>
    <w:p>
      <w:r>
        <w:br w:type="page"/>
      </w:r>
    </w:p>
    <w:p>
      <w:pPr>
        <w:spacing w:before="80" w:after="40"/>
      </w:pPr>
      <w:r>
        <w:rPr>
          <w:rFonts w:ascii="Calibri" w:hAnsi="Calibri"/>
          <w:b/>
          <w:color w:val="1F3A3D"/>
          <w:sz w:val="24"/>
        </w:rPr>
        <w:t>9. Actionable Recommendations &amp; Week 3 Engineering Refactoring Roadmap</w:t>
      </w:r>
    </w:p>
    <w:p>
      <w:pPr>
        <w:spacing w:after="60"/>
      </w:pPr>
      <w:r>
        <w:rPr>
          <w:rFonts w:ascii="Calibri" w:hAnsi="Calibri"/>
          <w:color w:val="2D3748"/>
          <w:sz w:val="17"/>
        </w:rPr>
        <w:t>In strict alignment with the CIT-U Capstone 2 schedule, the empirical findings from this 25-respondent MVP validation directly govern the Week 3 Requirements &amp; Design Refactoring deliverables due on September 26, 2026:</w:t>
      </w:r>
    </w:p>
    <w:tbl>
      <w:tblPr>
        <w:tblW w:type="auto" w:w="0"/>
        <w:jc w:val="center"/>
        <w:tblLook w:firstColumn="1" w:firstRow="1" w:lastColumn="0" w:lastRow="0" w:noHBand="0" w:noVBand="1" w:val="04A0"/>
      </w:tblPr>
      <w:tblGrid>
        <w:gridCol w:w="2592"/>
        <w:gridCol w:w="2592"/>
        <w:gridCol w:w="2592"/>
        <w:gridCol w:w="2592"/>
      </w:tblGrid>
      <w:tr>
        <w:tc>
          <w:tcPr>
            <w:tcW w:type="dxa" w:w="2304"/>
            <w:shd w:fill="6B4E71"/>
            <w:tcMar>
              <w:top w:w="40" w:type="dxa"/>
              <w:bottom w:w="40" w:type="dxa"/>
              <w:left w:w="60" w:type="dxa"/>
              <w:right w:w="60" w:type="dxa"/>
            </w:tcMar>
          </w:tcPr>
          <w:p>
            <w:r>
              <w:rPr>
                <w:rFonts w:ascii="Calibri" w:hAnsi="Calibri"/>
                <w:b/>
                <w:color w:val="FFFFFF"/>
                <w:sz w:val="15"/>
              </w:rPr>
              <w:t>Capstone 2 Target Artifact</w:t>
            </w:r>
          </w:p>
        </w:tc>
        <w:tc>
          <w:tcPr>
            <w:tcW w:type="dxa" w:w="2592"/>
            <w:shd w:fill="6B4E71"/>
            <w:tcMar>
              <w:top w:w="40" w:type="dxa"/>
              <w:bottom w:w="40" w:type="dxa"/>
              <w:left w:w="60" w:type="dxa"/>
              <w:right w:w="60" w:type="dxa"/>
            </w:tcMar>
          </w:tcPr>
          <w:p>
            <w:r>
              <w:rPr>
                <w:rFonts w:ascii="Calibri" w:hAnsi="Calibri"/>
                <w:b/>
                <w:color w:val="FFFFFF"/>
                <w:sz w:val="15"/>
              </w:rPr>
              <w:t>Empirical Validation Finding</w:t>
            </w:r>
          </w:p>
        </w:tc>
        <w:tc>
          <w:tcPr>
            <w:tcW w:type="dxa" w:w="3888"/>
            <w:shd w:fill="6B4E71"/>
            <w:tcMar>
              <w:top w:w="40" w:type="dxa"/>
              <w:bottom w:w="40" w:type="dxa"/>
              <w:left w:w="60" w:type="dxa"/>
              <w:right w:w="60" w:type="dxa"/>
            </w:tcMar>
          </w:tcPr>
          <w:p>
            <w:r>
              <w:rPr>
                <w:rFonts w:ascii="Calibri" w:hAnsi="Calibri"/>
                <w:b/>
                <w:color w:val="FFFFFF"/>
                <w:sz w:val="15"/>
              </w:rPr>
              <w:t>Engineering Action &amp; Document Refactoring Specification</w:t>
            </w:r>
          </w:p>
        </w:tc>
        <w:tc>
          <w:tcPr>
            <w:tcW w:type="dxa" w:w="1584"/>
            <w:shd w:fill="6B4E71"/>
            <w:tcMar>
              <w:top w:w="40" w:type="dxa"/>
              <w:bottom w:w="40" w:type="dxa"/>
              <w:left w:w="60" w:type="dxa"/>
              <w:right w:w="60" w:type="dxa"/>
            </w:tcMar>
          </w:tcPr>
          <w:p>
            <w:r>
              <w:rPr>
                <w:rFonts w:ascii="Calibri" w:hAnsi="Calibri"/>
                <w:b/>
                <w:color w:val="FFFFFF"/>
                <w:sz w:val="15"/>
              </w:rPr>
              <w:t>Priority / Status</w:t>
            </w:r>
          </w:p>
        </w:tc>
      </w:tr>
      <w:tr>
        <w:tc>
          <w:tcPr>
            <w:tcW w:type="dxa" w:w="2304"/>
            <w:shd w:fill="F7FAFC"/>
            <w:tcMar>
              <w:top w:w="40" w:type="dxa"/>
              <w:bottom w:w="40" w:type="dxa"/>
              <w:left w:w="60" w:type="dxa"/>
              <w:right w:w="60" w:type="dxa"/>
            </w:tcMar>
          </w:tcPr>
          <w:p>
            <w:r>
              <w:rPr>
                <w:rFonts w:ascii="Calibri" w:hAnsi="Calibri"/>
                <w:b/>
                <w:color w:val="1F3A3D"/>
                <w:sz w:val="15"/>
              </w:rPr>
              <w:t>SRS v3.0</w:t>
              <w:br/>
              <w:t>Functional Requirements</w:t>
            </w:r>
          </w:p>
        </w:tc>
        <w:tc>
          <w:tcPr>
            <w:tcW w:type="dxa" w:w="2592"/>
            <w:shd w:fill="F7FAFC"/>
            <w:tcMar>
              <w:top w:w="40" w:type="dxa"/>
              <w:bottom w:w="40" w:type="dxa"/>
              <w:left w:w="60" w:type="dxa"/>
              <w:right w:w="60" w:type="dxa"/>
            </w:tcMar>
          </w:tcPr>
          <w:p>
            <w:r>
              <w:rPr>
                <w:rFonts w:ascii="Calibri" w:hAnsi="Calibri"/>
                <w:color w:val="2D3748"/>
                <w:sz w:val="15"/>
              </w:rPr>
              <w:t>Teachers flagged letter-name vocal artifacts in phoneme modeling (PED-08).</w:t>
            </w:r>
          </w:p>
        </w:tc>
        <w:tc>
          <w:tcPr>
            <w:tcW w:type="dxa" w:w="3888"/>
            <w:shd w:fill="F7FAFC"/>
            <w:tcMar>
              <w:top w:w="40" w:type="dxa"/>
              <w:bottom w:w="40" w:type="dxa"/>
              <w:left w:w="60" w:type="dxa"/>
              <w:right w:w="60" w:type="dxa"/>
            </w:tcMar>
          </w:tcPr>
          <w:p>
            <w:r>
              <w:rPr>
                <w:rFonts w:ascii="Calibri" w:hAnsi="Calibri"/>
                <w:color w:val="2D3748"/>
                <w:sz w:val="15"/>
              </w:rPr>
              <w:t>Update FR-02 (Hear It Module): Specify that phoneme audio models must deliver isolated unvoiced/voiced pure phonemes (e.g., /m/ = [m:], duration 800ms) with zero syllabic or letter-name concatenation.</w:t>
            </w:r>
          </w:p>
        </w:tc>
        <w:tc>
          <w:tcPr>
            <w:tcW w:type="dxa" w:w="1584"/>
            <w:shd w:fill="F7FAFC"/>
            <w:tcMar>
              <w:top w:w="40" w:type="dxa"/>
              <w:bottom w:w="40" w:type="dxa"/>
              <w:left w:w="60" w:type="dxa"/>
              <w:right w:w="60" w:type="dxa"/>
            </w:tcMar>
          </w:tcPr>
          <w:p>
            <w:r>
              <w:rPr>
                <w:rFonts w:ascii="Calibri" w:hAnsi="Calibri"/>
                <w:b/>
                <w:color w:val="2B7A78"/>
                <w:sz w:val="15"/>
              </w:rPr>
              <w:t>P0 (Immediate)</w:t>
              <w:br/>
              <w:t>Refactor in Week 3</w:t>
            </w:r>
          </w:p>
        </w:tc>
      </w:tr>
      <w:tr>
        <w:tc>
          <w:tcPr>
            <w:tcW w:type="dxa" w:w="2304"/>
            <w:shd w:fill="FFFFFF"/>
            <w:tcMar>
              <w:top w:w="40" w:type="dxa"/>
              <w:bottom w:w="40" w:type="dxa"/>
              <w:left w:w="60" w:type="dxa"/>
              <w:right w:w="60" w:type="dxa"/>
            </w:tcMar>
          </w:tcPr>
          <w:p>
            <w:r>
              <w:rPr>
                <w:rFonts w:ascii="Calibri" w:hAnsi="Calibri"/>
                <w:b/>
                <w:color w:val="1F3A3D"/>
                <w:sz w:val="15"/>
              </w:rPr>
              <w:t>SRS v3.0</w:t>
              <w:br/>
              <w:t>UI &amp; Accessibility</w:t>
            </w:r>
          </w:p>
        </w:tc>
        <w:tc>
          <w:tcPr>
            <w:tcW w:type="dxa" w:w="2592"/>
            <w:shd w:fill="FFFFFF"/>
            <w:tcMar>
              <w:top w:w="40" w:type="dxa"/>
              <w:bottom w:w="40" w:type="dxa"/>
              <w:left w:w="60" w:type="dxa"/>
              <w:right w:w="60" w:type="dxa"/>
            </w:tcMar>
          </w:tcPr>
          <w:p>
            <w:r>
              <w:rPr>
                <w:rFonts w:ascii="Calibri" w:hAnsi="Calibri"/>
                <w:color w:val="2D3748"/>
                <w:sz w:val="15"/>
              </w:rPr>
              <w:t>Children hesitated during mic recording; hearing accommodation scored 60%.</w:t>
            </w:r>
          </w:p>
        </w:tc>
        <w:tc>
          <w:tcPr>
            <w:tcW w:type="dxa" w:w="3888"/>
            <w:shd w:fill="FFFFFF"/>
            <w:tcMar>
              <w:top w:w="40" w:type="dxa"/>
              <w:bottom w:w="40" w:type="dxa"/>
              <w:left w:w="60" w:type="dxa"/>
              <w:right w:w="60" w:type="dxa"/>
            </w:tcMar>
          </w:tcPr>
          <w:p>
            <w:r>
              <w:rPr>
                <w:rFonts w:ascii="Calibri" w:hAnsi="Calibri"/>
                <w:color w:val="2D3748"/>
                <w:sz w:val="15"/>
              </w:rPr>
              <w:t>Update FR-03 (Say It Module): Add requirement for an active audio-visual ripple state on mic tap. Add NFR-Accessibility specifying visual mouth articulation icons.</w:t>
            </w:r>
          </w:p>
        </w:tc>
        <w:tc>
          <w:tcPr>
            <w:tcW w:type="dxa" w:w="1584"/>
            <w:shd w:fill="FFFFFF"/>
            <w:tcMar>
              <w:top w:w="40" w:type="dxa"/>
              <w:bottom w:w="40" w:type="dxa"/>
              <w:left w:w="60" w:type="dxa"/>
              <w:right w:w="60" w:type="dxa"/>
            </w:tcMar>
          </w:tcPr>
          <w:p>
            <w:r>
              <w:rPr>
                <w:rFonts w:ascii="Calibri" w:hAnsi="Calibri"/>
                <w:b/>
                <w:color w:val="2B7A78"/>
                <w:sz w:val="15"/>
              </w:rPr>
              <w:t>P1 (High)</w:t>
              <w:br/>
              <w:t>Refactor in Week 3</w:t>
            </w:r>
          </w:p>
        </w:tc>
      </w:tr>
      <w:tr>
        <w:tc>
          <w:tcPr>
            <w:tcW w:type="dxa" w:w="2304"/>
            <w:shd w:fill="F7FAFC"/>
            <w:tcMar>
              <w:top w:w="40" w:type="dxa"/>
              <w:bottom w:w="40" w:type="dxa"/>
              <w:left w:w="60" w:type="dxa"/>
              <w:right w:w="60" w:type="dxa"/>
            </w:tcMar>
          </w:tcPr>
          <w:p>
            <w:r>
              <w:rPr>
                <w:rFonts w:ascii="Calibri" w:hAnsi="Calibri"/>
                <w:b/>
                <w:color w:val="1F3A3D"/>
                <w:sz w:val="15"/>
              </w:rPr>
              <w:t>SDD v2.0</w:t>
              <w:br/>
              <w:t>Audio Architecture</w:t>
            </w:r>
          </w:p>
        </w:tc>
        <w:tc>
          <w:tcPr>
            <w:tcW w:type="dxa" w:w="2592"/>
            <w:shd w:fill="F7FAFC"/>
            <w:tcMar>
              <w:top w:w="40" w:type="dxa"/>
              <w:bottom w:w="40" w:type="dxa"/>
              <w:left w:w="60" w:type="dxa"/>
              <w:right w:w="60" w:type="dxa"/>
            </w:tcMar>
          </w:tcPr>
          <w:p>
            <w:r>
              <w:rPr>
                <w:rFonts w:ascii="Calibri" w:hAnsi="Calibri"/>
                <w:color w:val="2D3748"/>
                <w:sz w:val="15"/>
              </w:rPr>
              <w:t>Phoneme pronunciation accuracy requires pristine acoustic delivery.</w:t>
            </w:r>
          </w:p>
        </w:tc>
        <w:tc>
          <w:tcPr>
            <w:tcW w:type="dxa" w:w="3888"/>
            <w:shd w:fill="F7FAFC"/>
            <w:tcMar>
              <w:top w:w="40" w:type="dxa"/>
              <w:bottom w:w="40" w:type="dxa"/>
              <w:left w:w="60" w:type="dxa"/>
              <w:right w:w="60" w:type="dxa"/>
            </w:tcMar>
          </w:tcPr>
          <w:p>
            <w:r>
              <w:rPr>
                <w:rFonts w:ascii="Calibri" w:hAnsi="Calibri"/>
                <w:color w:val="2D3748"/>
                <w:sz w:val="15"/>
              </w:rPr>
              <w:t>Refactor AudioPlaybackManager architecture: Ensure pre-cached SoundPool zero-latency playback for short phoneme bursts; isolate pure phoneme .wav files in raw/ directory.</w:t>
            </w:r>
          </w:p>
        </w:tc>
        <w:tc>
          <w:tcPr>
            <w:tcW w:type="dxa" w:w="1584"/>
            <w:shd w:fill="F7FAFC"/>
            <w:tcMar>
              <w:top w:w="40" w:type="dxa"/>
              <w:bottom w:w="40" w:type="dxa"/>
              <w:left w:w="60" w:type="dxa"/>
              <w:right w:w="60" w:type="dxa"/>
            </w:tcMar>
          </w:tcPr>
          <w:p>
            <w:r>
              <w:rPr>
                <w:rFonts w:ascii="Calibri" w:hAnsi="Calibri"/>
                <w:b/>
                <w:color w:val="2B7A78"/>
                <w:sz w:val="15"/>
              </w:rPr>
              <w:t>P0 (Immediate)</w:t>
              <w:br/>
              <w:t>Refactor in Week 3</w:t>
            </w:r>
          </w:p>
        </w:tc>
      </w:tr>
      <w:tr>
        <w:tc>
          <w:tcPr>
            <w:tcW w:type="dxa" w:w="2304"/>
            <w:shd w:fill="FFFFFF"/>
            <w:tcMar>
              <w:top w:w="40" w:type="dxa"/>
              <w:bottom w:w="40" w:type="dxa"/>
              <w:left w:w="60" w:type="dxa"/>
              <w:right w:w="60" w:type="dxa"/>
            </w:tcMar>
          </w:tcPr>
          <w:p>
            <w:r>
              <w:rPr>
                <w:rFonts w:ascii="Calibri" w:hAnsi="Calibri"/>
                <w:b/>
                <w:color w:val="1F3A3D"/>
                <w:sz w:val="15"/>
              </w:rPr>
              <w:t>SDD v2.0</w:t>
              <w:br/>
              <w:t>Database &amp; Telemetry</w:t>
            </w:r>
          </w:p>
        </w:tc>
        <w:tc>
          <w:tcPr>
            <w:tcW w:type="dxa" w:w="2592"/>
            <w:shd w:fill="FFFFFF"/>
            <w:tcMar>
              <w:top w:w="40" w:type="dxa"/>
              <w:bottom w:w="40" w:type="dxa"/>
              <w:left w:w="60" w:type="dxa"/>
              <w:right w:w="60" w:type="dxa"/>
            </w:tcMar>
          </w:tcPr>
          <w:p>
            <w:r>
              <w:rPr>
                <w:rFonts w:ascii="Calibri" w:hAnsi="Calibri"/>
                <w:color w:val="2D3748"/>
                <w:sz w:val="15"/>
              </w:rPr>
              <w:t>100% offline persistence confirmed; teachers requested bulk progress tracking.</w:t>
            </w:r>
          </w:p>
        </w:tc>
        <w:tc>
          <w:tcPr>
            <w:tcW w:type="dxa" w:w="3888"/>
            <w:shd w:fill="FFFFFF"/>
            <w:tcMar>
              <w:top w:w="40" w:type="dxa"/>
              <w:bottom w:w="40" w:type="dxa"/>
              <w:left w:w="60" w:type="dxa"/>
              <w:right w:w="60" w:type="dxa"/>
            </w:tcMar>
          </w:tcPr>
          <w:p>
            <w:r>
              <w:rPr>
                <w:rFonts w:ascii="Calibri" w:hAnsi="Calibri"/>
                <w:color w:val="2D3748"/>
                <w:sz w:val="15"/>
              </w:rPr>
              <w:t>Refactor Room Database Schema v3: Formalize multi-profile telemetry queries for diagnostic summary generation without compromising offline latency.</w:t>
            </w:r>
          </w:p>
        </w:tc>
        <w:tc>
          <w:tcPr>
            <w:tcW w:type="dxa" w:w="1584"/>
            <w:shd w:fill="FFFFFF"/>
            <w:tcMar>
              <w:top w:w="40" w:type="dxa"/>
              <w:bottom w:w="40" w:type="dxa"/>
              <w:left w:w="60" w:type="dxa"/>
              <w:right w:w="60" w:type="dxa"/>
            </w:tcMar>
          </w:tcPr>
          <w:p>
            <w:r>
              <w:rPr>
                <w:rFonts w:ascii="Calibri" w:hAnsi="Calibri"/>
                <w:b/>
                <w:color w:val="2B7A78"/>
                <w:sz w:val="15"/>
              </w:rPr>
              <w:t>P1 (High)</w:t>
              <w:br/>
              <w:t>Refactor in Week 3</w:t>
            </w:r>
          </w:p>
        </w:tc>
      </w:tr>
      <w:tr>
        <w:tc>
          <w:tcPr>
            <w:tcW w:type="dxa" w:w="2304"/>
            <w:shd w:fill="F7FAFC"/>
            <w:tcMar>
              <w:top w:w="40" w:type="dxa"/>
              <w:bottom w:w="40" w:type="dxa"/>
              <w:left w:w="60" w:type="dxa"/>
              <w:right w:w="60" w:type="dxa"/>
            </w:tcMar>
          </w:tcPr>
          <w:p>
            <w:r>
              <w:rPr>
                <w:rFonts w:ascii="Calibri" w:hAnsi="Calibri"/>
                <w:b/>
                <w:color w:val="1F3A3D"/>
                <w:sz w:val="15"/>
              </w:rPr>
              <w:t>Traceability Matrix</w:t>
              <w:br/>
              <w:t>(RTM v3.0)</w:t>
            </w:r>
          </w:p>
        </w:tc>
        <w:tc>
          <w:tcPr>
            <w:tcW w:type="dxa" w:w="2592"/>
            <w:shd w:fill="F7FAFC"/>
            <w:tcMar>
              <w:top w:w="40" w:type="dxa"/>
              <w:bottom w:w="40" w:type="dxa"/>
              <w:left w:w="60" w:type="dxa"/>
              <w:right w:w="60" w:type="dxa"/>
            </w:tcMar>
          </w:tcPr>
          <w:p>
            <w:r>
              <w:rPr>
                <w:rFonts w:ascii="Calibri" w:hAnsi="Calibri"/>
                <w:color w:val="2D3748"/>
                <w:sz w:val="15"/>
              </w:rPr>
              <w:t>Teacher validation confirmed 33 CVC Blend It words and 7-biome sequence.</w:t>
            </w:r>
          </w:p>
        </w:tc>
        <w:tc>
          <w:tcPr>
            <w:tcW w:type="dxa" w:w="3888"/>
            <w:shd w:fill="F7FAFC"/>
            <w:tcMar>
              <w:top w:w="40" w:type="dxa"/>
              <w:bottom w:w="40" w:type="dxa"/>
              <w:left w:w="60" w:type="dxa"/>
              <w:right w:w="60" w:type="dxa"/>
            </w:tcMar>
          </w:tcPr>
          <w:p>
            <w:r>
              <w:rPr>
                <w:rFonts w:ascii="Calibri" w:hAnsi="Calibri"/>
                <w:color w:val="2D3748"/>
                <w:sz w:val="15"/>
              </w:rPr>
              <w:t>Map verified validation items (PED-01..12, SUS-01..10, ACC-01..07) directly to FR-13 (Blend It CVC Synthesis) and FR-14 (Multi-Profile Support).</w:t>
            </w:r>
          </w:p>
        </w:tc>
        <w:tc>
          <w:tcPr>
            <w:tcW w:type="dxa" w:w="1584"/>
            <w:shd w:fill="F7FAFC"/>
            <w:tcMar>
              <w:top w:w="40" w:type="dxa"/>
              <w:bottom w:w="40" w:type="dxa"/>
              <w:left w:w="60" w:type="dxa"/>
              <w:right w:w="60" w:type="dxa"/>
            </w:tcMar>
          </w:tcPr>
          <w:p>
            <w:r>
              <w:rPr>
                <w:rFonts w:ascii="Calibri" w:hAnsi="Calibri"/>
                <w:b/>
                <w:color w:val="2B7A78"/>
                <w:sz w:val="15"/>
              </w:rPr>
              <w:t>P0 (Immediate)</w:t>
              <w:br/>
              <w:t>Refactor in Week 3</w:t>
            </w:r>
          </w:p>
        </w:tc>
      </w:tr>
      <w:tr>
        <w:tc>
          <w:tcPr>
            <w:tcW w:type="dxa" w:w="2304"/>
            <w:shd w:fill="FFFFFF"/>
            <w:tcMar>
              <w:top w:w="40" w:type="dxa"/>
              <w:bottom w:w="40" w:type="dxa"/>
              <w:left w:w="60" w:type="dxa"/>
              <w:right w:w="60" w:type="dxa"/>
            </w:tcMar>
          </w:tcPr>
          <w:p>
            <w:r>
              <w:rPr>
                <w:rFonts w:ascii="Calibri" w:hAnsi="Calibri"/>
                <w:b/>
                <w:color w:val="1F3A3D"/>
                <w:sz w:val="15"/>
              </w:rPr>
              <w:t>Software Test Doc</w:t>
              <w:br/>
              <w:t>(STD Test Cases)</w:t>
            </w:r>
          </w:p>
        </w:tc>
        <w:tc>
          <w:tcPr>
            <w:tcW w:type="dxa" w:w="2592"/>
            <w:shd w:fill="FFFFFF"/>
            <w:tcMar>
              <w:top w:w="40" w:type="dxa"/>
              <w:bottom w:w="40" w:type="dxa"/>
              <w:left w:w="60" w:type="dxa"/>
              <w:right w:w="60" w:type="dxa"/>
            </w:tcMar>
          </w:tcPr>
          <w:p>
            <w:r>
              <w:rPr>
                <w:rFonts w:ascii="Calibri" w:hAnsi="Calibri"/>
                <w:color w:val="2D3748"/>
                <w:sz w:val="15"/>
              </w:rPr>
              <w:t>Vosk speech recognition must reliably score child phoneme vocalizations.</w:t>
            </w:r>
          </w:p>
        </w:tc>
        <w:tc>
          <w:tcPr>
            <w:tcW w:type="dxa" w:w="3888"/>
            <w:shd w:fill="FFFFFF"/>
            <w:tcMar>
              <w:top w:w="40" w:type="dxa"/>
              <w:bottom w:w="40" w:type="dxa"/>
              <w:left w:w="60" w:type="dxa"/>
              <w:right w:w="60" w:type="dxa"/>
            </w:tcMar>
          </w:tcPr>
          <w:p>
            <w:r>
              <w:rPr>
                <w:rFonts w:ascii="Calibri" w:hAnsi="Calibri"/>
                <w:color w:val="2D3748"/>
                <w:sz w:val="15"/>
              </w:rPr>
              <w:t>Formulate TC-ASR-01 to 05: Acoustic automated regression tests evaluating Vosk phoneme acceptance across varied child voice pitches and ambient noise levels up to 40dB.</w:t>
            </w:r>
          </w:p>
        </w:tc>
        <w:tc>
          <w:tcPr>
            <w:tcW w:type="dxa" w:w="1584"/>
            <w:shd w:fill="FFFFFF"/>
            <w:tcMar>
              <w:top w:w="40" w:type="dxa"/>
              <w:bottom w:w="40" w:type="dxa"/>
              <w:left w:w="60" w:type="dxa"/>
              <w:right w:w="60" w:type="dxa"/>
            </w:tcMar>
          </w:tcPr>
          <w:p>
            <w:r>
              <w:rPr>
                <w:rFonts w:ascii="Calibri" w:hAnsi="Calibri"/>
                <w:b/>
                <w:color w:val="2B7A78"/>
                <w:sz w:val="15"/>
              </w:rPr>
              <w:t>P1 (High)</w:t>
              <w:br/>
              <w:t>Weeks 4–7 Plan</w:t>
            </w:r>
          </w:p>
        </w:tc>
      </w:tr>
    </w:tbl>
    <w:p>
      <w:pPr>
        <w:spacing w:after="80"/>
      </w:pPr>
    </w:p>
    <w:p>
      <w:pPr>
        <w:spacing w:before="80" w:after="40"/>
      </w:pPr>
      <w:r>
        <w:rPr>
          <w:rFonts w:ascii="Calibri" w:hAnsi="Calibri"/>
          <w:b/>
          <w:color w:val="1F3A3D"/>
          <w:sz w:val="24"/>
        </w:rPr>
        <w:t>10. Conclusion &amp; Midterm Readiness Statement</w:t>
      </w:r>
    </w:p>
    <w:p>
      <w:pPr>
        <w:spacing w:after="80"/>
      </w:pPr>
      <w:r>
        <w:rPr>
          <w:rFonts w:ascii="Calibri" w:hAnsi="Calibri"/>
          <w:color w:val="2D3748"/>
          <w:sz w:val="17"/>
        </w:rPr>
        <w:t>The Weeks 1–2 MVP Validation successfully achieved its research objectives. With an overall System Usability Scale score of 75.50 (Grade B+), 100% agreement on DepEd Grade 1 curriculum alignment, and 93.8% child affective joy, the core software foundation of PlayIT is empirically validated as sound, engaging, and developmentally appropriate. The specific qualitative feedback obtained from certified educators provides precise, high-value engineering targets for Week 3—chiefly the re-mastering of pure phonetic sound models and enhanced microphone visual feedback. The project is fully on schedule and positioned with high rigor for full system implementation in Weeks 4–7.</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