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Final Validation Results and Statistical Analysis Report (</w:t>
      </w:r>
      <w:r>
        <w:rPr>
          <w:rFonts w:ascii="Consolas" w:hAnsi="Consolas" w:cs="Consolas" w:eastAsia="Consolas"/>
          <w:b/>
          <w:i w:val="0"/>
          <w:color w:val="1F3A3D"/>
          <w:sz w:val="39"/>
        </w:rPr>
        <w:t>04_Results_and_Analysis</w:t>
      </w:r>
      <w:r>
        <w:rPr>
          <w:b/>
          <w:color w:val="1F3A3D"/>
          <w:sz w:val="40"/>
        </w:rPr>
        <w:t>)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Early Literacy Mobile Application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 &amp; Section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(Section G7)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Group Code / Team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2627-sem1-it411-56</w:t>
            </w:r>
            <w:r>
              <w:rPr>
                <w:color w:val="2D3748"/>
                <w:sz w:val="19"/>
              </w:rPr>
              <w:t xml:space="preserve"> — Group 56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Riva, Zendrix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Palis, John James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Miel, Kaysean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Durano, Ashlee Skye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Bien, Erik Samuel</w:t>
            </w:r>
            <w:r>
              <w:rPr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 xml:space="preserve">Mr. Joemarie C. Amparo | </w:t>
            </w:r>
            <w:r>
              <w:rPr>
                <w:b/>
                <w:color w:val="2D3748"/>
                <w:sz w:val="19"/>
              </w:rPr>
              <w:t>Course Instructor:</w:t>
            </w:r>
            <w:r>
              <w:rPr>
                <w:color w:val="2D3748"/>
                <w:sz w:val="19"/>
              </w:rPr>
              <w:t xml:space="preserve"> Mr. Ralph P. Laviste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Deliverable Reference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Week 12 Deliverables 3, 4 &amp; 5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03_Testing_Evidence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04_Results_and_Analysis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05_Recommendations_and_Improvements</w:t>
            </w:r>
            <w:r>
              <w:rPr>
                <w:color w:val="2D3748"/>
                <w:sz w:val="19"/>
              </w:rPr>
              <w:t>, Due October 31, 2026)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 xml:space="preserve">Folder 04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04_Results_and_Analysis/FINAL_VALIDATION_RESULTS_AND_ANALYSIS.md</w:t>
      </w:r>
    </w:p>
    <w:p>
      <w:pPr>
        <w:pStyle w:val="Heading2"/>
      </w:pPr>
      <w:r>
        <w:rPr>
          <w:sz w:val="25"/>
        </w:rPr>
        <w:t>1. Respondent Profile &amp; Sample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64"/>
        <w:gridCol w:w="2492"/>
        <w:gridCol w:w="997"/>
        <w:gridCol w:w="4537"/>
      </w:tblGrid>
      <w:tr>
        <w:trPr>
          <w:tblHeader w:val="true"/>
        </w:trPr>
        <w:tc>
          <w:tcPr>
            <w:tcW w:type="dxa" w:w="1764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Cohort</w:t>
            </w:r>
          </w:p>
        </w:tc>
        <w:tc>
          <w:tcPr>
            <w:tcW w:type="dxa" w:w="249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Target Role</w:t>
            </w:r>
          </w:p>
        </w:tc>
        <w:tc>
          <w:tcPr>
            <w:tcW w:type="dxa" w:w="998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Actual 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4537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Demographic / Qualification Summary</w:t>
            </w:r>
          </w:p>
        </w:tc>
      </w:tr>
      <w:tr>
        <w:trPr>
          <w:cantSplit w:val="true"/>
        </w:trPr>
        <w:tc>
          <w:tcPr>
            <w:tcW w:type="dxa" w:w="1764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1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Grade 1 Learners (Primary End-Users)</w:t>
            </w:r>
          </w:p>
        </w:tc>
        <w:tc>
          <w:tcPr>
            <w:tcW w:type="dxa" w:w="99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Ages 6–7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age 6,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age 7); Grade 1 emergent readers.</w:t>
            </w:r>
          </w:p>
        </w:tc>
      </w:tr>
      <w:tr>
        <w:trPr>
          <w:cantSplit w:val="true"/>
        </w:trPr>
        <w:tc>
          <w:tcPr>
            <w:tcW w:type="dxa" w:w="176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2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DepEd Grade 1 Reading Teachers</w:t>
            </w:r>
          </w:p>
        </w:tc>
        <w:tc>
          <w:tcPr>
            <w:tcW w:type="dxa" w:w="998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Mean teaching experience: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years in Grade 1 Reading / MTB-MLE / English.</w:t>
            </w:r>
          </w:p>
        </w:tc>
      </w:tr>
      <w:tr>
        <w:trPr>
          <w:cantSplit w:val="true"/>
        </w:trPr>
        <w:tc>
          <w:tcPr>
            <w:tcW w:type="dxa" w:w="1764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3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Parents / Primary Caregivers</w:t>
            </w:r>
          </w:p>
        </w:tc>
        <w:tc>
          <w:tcPr>
            <w:tcW w:type="dxa" w:w="99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Parents/guardians of Grade 1 learners supervising home reading practice.</w:t>
            </w:r>
          </w:p>
        </w:tc>
      </w:tr>
      <w:tr>
        <w:trPr>
          <w:cantSplit w:val="true"/>
        </w:trPr>
        <w:tc>
          <w:tcPr>
            <w:tcW w:type="dxa" w:w="176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4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QA-03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Technical / QA Evaluators</w:t>
            </w:r>
          </w:p>
        </w:tc>
        <w:tc>
          <w:tcPr>
            <w:tcW w:type="dxa" w:w="998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</w:t>
            </w:r>
          </w:p>
        </w:tc>
        <w:tc>
          <w:tcPr>
            <w:tcW w:type="dxa" w:w="453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Hardware &amp; accessibility benchmark evaluators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SM-A217F</w:t>
            </w:r>
            <w:r>
              <w:rPr>
                <w:color w:val="2D3748"/>
                <w:sz w:val="17"/>
              </w:rPr>
              <w:t>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2. Empirical Results by Research Question &amp; SMART Goal</w:t>
      </w:r>
    </w:p>
    <w:p>
      <w:pPr>
        <w:pStyle w:val="Heading3"/>
      </w:pPr>
      <w:r>
        <w:rPr>
          <w:sz w:val="22"/>
        </w:rPr>
        <w:t xml:space="preserve">2.1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RQ1</w:t>
      </w:r>
      <w:r>
        <w:rPr>
          <w:sz w:val="22"/>
        </w:rPr>
        <w:t xml:space="preserve"> — Pedagogical &amp; Acoustic Integrity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SMART-01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SMART-02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HI-1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HI-2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Gate 3 Blind Phoneme Audit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A</w:t>
      </w:r>
      <w:r>
        <w:rPr>
          <w:b/>
          <w:color w:val="2D3748"/>
          <w:sz w:val="20"/>
        </w:rPr>
        <w:t xml:space="preserve"> Part A1):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26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>) phoneme clips transcribed accurately and rated schwa-free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&gt;= 2/3</w:t>
      </w:r>
      <w:r>
        <w:rPr>
          <w:color w:val="2D3748"/>
          <w:sz w:val="20"/>
        </w:rPr>
        <w:t xml:space="preserve"> teachers).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Decodable CVC Word Bank Audit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A</w:t>
      </w:r>
      <w:r>
        <w:rPr>
          <w:b/>
          <w:color w:val="2D3748"/>
          <w:sz w:val="20"/>
        </w:rPr>
        <w:t xml:space="preserve"> Part A2):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33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>) Blend It words verified as 100% cumulatively decodable.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 xml:space="preserve">Child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Hear It</w:t>
      </w:r>
      <w:r>
        <w:rPr>
          <w:b/>
          <w:color w:val="2D3748"/>
          <w:sz w:val="20"/>
        </w:rPr>
        <w:t xml:space="preserve"> Independent Completion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B</w:t>
      </w:r>
      <w:r>
        <w:rPr>
          <w:b/>
          <w:color w:val="2D3748"/>
          <w:sz w:val="20"/>
        </w:rPr>
        <w:t xml:space="preserve"> Part B1):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[__]</w:t>
      </w:r>
      <w:r>
        <w:rPr>
          <w:color w:val="2D3748"/>
          <w:sz w:val="20"/>
        </w:rPr>
        <w:t xml:space="preserve"> sessions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, 95% Wilson CI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[___%, ___%]</w:t>
      </w:r>
      <w:r>
        <w:rPr>
          <w:color w:val="2D3748"/>
          <w:sz w:val="20"/>
        </w:rPr>
        <w:t xml:space="preserve">) completed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Hear It</w:t>
      </w:r>
      <w:r>
        <w:rPr>
          <w:color w:val="2D3748"/>
          <w:sz w:val="20"/>
        </w:rPr>
        <w:t xml:space="preserve"> with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0</w:t>
      </w:r>
      <w:r>
        <w:rPr>
          <w:color w:val="2D3748"/>
          <w:sz w:val="20"/>
        </w:rPr>
        <w:t xml:space="preserve"> adult prompts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≥ 90.0%</w:t>
      </w:r>
      <w:r>
        <w:rPr>
          <w:i/>
          <w:color w:val="2D3748"/>
          <w:sz w:val="20"/>
        </w:rPr>
        <w:t>).</w:t>
      </w:r>
    </w:p>
    <w:p>
      <w:pPr>
        <w:pStyle w:val="Heading3"/>
      </w:pPr>
      <w:r>
        <w:rPr>
          <w:sz w:val="22"/>
        </w:rPr>
        <w:t xml:space="preserve">2.2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RQ2</w:t>
      </w:r>
      <w:r>
        <w:rPr>
          <w:sz w:val="22"/>
        </w:rPr>
        <w:t xml:space="preserve"> — Offline Speech Recognition &amp; Articulatory Scaffolding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SMART-03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SI-1</w:t>
      </w:r>
      <w:r>
        <w:rPr>
          <w:sz w:val="22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SI-4</w:t>
      </w:r>
      <w:r>
        <w:rPr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12"/>
        <w:gridCol w:w="1869"/>
        <w:gridCol w:w="1582"/>
        <w:gridCol w:w="1185"/>
        <w:gridCol w:w="1509"/>
        <w:gridCol w:w="1332"/>
      </w:tblGrid>
      <w:tr>
        <w:trPr>
          <w:tblHeader w:val="true"/>
        </w:trPr>
        <w:tc>
          <w:tcPr>
            <w:tcW w:type="dxa" w:w="231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869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58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Empirical Result</w:t>
            </w:r>
          </w:p>
        </w:tc>
        <w:tc>
          <w:tcPr>
            <w:tcW w:type="dxa" w:w="118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95% Wilson CI / Spread</w:t>
            </w:r>
          </w:p>
        </w:tc>
        <w:tc>
          <w:tcPr>
            <w:tcW w:type="dxa" w:w="1510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Target Criterion</w:t>
            </w:r>
          </w:p>
        </w:tc>
        <w:tc>
          <w:tcPr>
            <w:tcW w:type="dxa" w:w="133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Teacher-ASR Agreement (</w:t>
            </w:r>
            <w:r>
              <w:rPr>
                <w:b/>
                <w:color w:val="2D3748"/>
                <w:sz w:val="17"/>
              </w:rPr>
              <w:t>P_(agree)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(TP + TN) / N_(trials)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[_​_]/[_​_]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80.0%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False-Reject Rate (</w:t>
            </w:r>
            <w:r>
              <w:rPr>
                <w:b/>
                <w:color w:val="2D3748"/>
                <w:sz w:val="17"/>
              </w:rPr>
              <w:t>P_(FR)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FN / (TP + FN)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[_​_]/[_​_]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≤ 15.0%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Dual-Teacher Inter-Rater </w:t>
            </w:r>
            <w:r>
              <w:rPr>
                <w:b/>
                <w:color w:val="2D3748"/>
                <w:sz w:val="17"/>
              </w:rPr>
              <w:t>kappa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Cohen's </w:t>
            </w:r>
            <w:r>
              <w:rPr>
                <w:color w:val="2D3748"/>
                <w:sz w:val="17"/>
              </w:rPr>
              <w:t>kappa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[0.​_​_]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0.70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3-Attempt Lesson Cleared Rate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SI-1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Cleared </w:t>
            </w:r>
            <w:r>
              <w:rPr>
                <w:color w:val="2D3748"/>
                <w:sz w:val="17"/>
              </w:rPr>
              <w:t>≤ 3</w:t>
            </w:r>
            <w:r>
              <w:rPr>
                <w:color w:val="2D3748"/>
                <w:sz w:val="17"/>
              </w:rPr>
              <w:t xml:space="preserve"> att. / Total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80.0%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Attempt 2/3 Mouth-Cue Recovery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SI-2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Att. 2–3 pass </w:t>
            </w:r>
            <w:r>
              <w:rPr>
                <w:color w:val="2D3748"/>
                <w:sz w:val="17"/>
              </w:rPr>
              <w:t>mid</w:t>
            </w:r>
            <w:r>
              <w:rPr>
                <w:color w:val="2D3748"/>
                <w:sz w:val="17"/>
              </w:rPr>
              <w:t xml:space="preserve"> Att. 1 miss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 xml:space="preserve">Documented </w:t>
            </w:r>
            <w:r>
              <w:rPr>
                <w:color w:val="2D3748"/>
                <w:sz w:val="17"/>
              </w:rPr>
              <w:t>&gt; 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 xml:space="preserve"> P90 Latency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D-01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P90(t_(feedback) − t_(EOS))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 ms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P50: [_​_​_] ms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≤ 500 ms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3"/>
      </w:pPr>
      <w:r>
        <w:rPr>
          <w:sz w:val="22"/>
        </w:rPr>
        <w:t xml:space="preserve">2.3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RQ3</w:t>
      </w:r>
      <w:r>
        <w:rPr>
          <w:sz w:val="22"/>
        </w:rPr>
        <w:t xml:space="preserve"> — Child Usability, Discrimination &amp; Blending Mastery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SMART-04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SMART-05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O3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Zero-Prompt Child Screen Navigation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O3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[__]/[__]</w:t>
      </w:r>
      <w:r>
        <w:rPr>
          <w:color w:val="2D3748"/>
          <w:sz w:val="20"/>
        </w:rPr>
        <w:t xml:space="preserve"> transitions) completed without adult intervention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≥ 85.0%</w:t>
      </w:r>
      <w:r>
        <w:rPr>
          <w:i/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Find It</w:t>
      </w:r>
      <w:r>
        <w:rPr>
          <w:b/>
          <w:color w:val="2D3748"/>
          <w:sz w:val="20"/>
        </w:rPr>
        <w:t xml:space="preserve"> First-Tap Accuracy &amp; Latency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SMART-04</w:t>
      </w:r>
      <w:r>
        <w:rPr>
          <w:b/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D-02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First-tap accuracy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; P90 tap latency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ms</w:t>
      </w:r>
      <w:r>
        <w:rPr>
          <w:color w:val="2D3748"/>
          <w:sz w:val="20"/>
        </w:rPr>
        <w:t xml:space="preserve">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≤ 300 ms</w:t>
      </w:r>
      <w:r>
        <w:rPr>
          <w:i/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Blend It</w:t>
      </w:r>
      <w:r>
        <w:rPr>
          <w:b/>
          <w:color w:val="2D3748"/>
          <w:sz w:val="20"/>
        </w:rPr>
        <w:t xml:space="preserve"> CVC Word Completion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SMART-04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of learners solved all 3 group CVC words with </w:t>
      </w:r>
      <w:r>
        <w:rPr>
          <w:color w:val="2D3748"/>
          <w:sz w:val="20"/>
        </w:rPr>
        <w:t>≥ 2star</w:t>
      </w:r>
      <w:r>
        <w:rPr>
          <w:color w:val="2D3748"/>
          <w:sz w:val="20"/>
        </w:rPr>
        <w:t xml:space="preserve"> mastery.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Child Affect &amp; Voluntary Replay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E</w:t>
      </w:r>
      <w:r>
        <w:rPr>
          <w:b/>
          <w:color w:val="2D3748"/>
          <w:sz w:val="20"/>
        </w:rPr>
        <w:t xml:space="preserve"> Part E1):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selected Happy Smile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3/3</w:t>
      </w:r>
      <w:r>
        <w:rPr>
          <w:color w:val="2D3748"/>
          <w:sz w:val="20"/>
        </w:rPr>
        <w:t xml:space="preserve">);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voluntarily chose to play another letter when offered the exit prompt.</w:t>
      </w:r>
    </w:p>
    <w:p>
      <w:pPr>
        <w:pStyle w:val="Heading3"/>
      </w:pPr>
      <w:r>
        <w:rPr>
          <w:sz w:val="22"/>
        </w:rPr>
        <w:t xml:space="preserve">2.4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RQ4</w:t>
      </w:r>
      <w:r>
        <w:rPr>
          <w:sz w:val="22"/>
        </w:rPr>
        <w:t xml:space="preserve"> — Hardware Performance, Offline Persistence &amp; Privacy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SMART-06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O4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O5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20-Cycle Force-Close Persistence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D-05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[20 / 20]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100%</w:t>
      </w:r>
      <w:r>
        <w:rPr>
          <w:color w:val="2D3748"/>
          <w:sz w:val="20"/>
        </w:rPr>
        <w:t>) cycles retained exact SQLite state in Airplane Mode.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Airplane-Mode Module Operability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D-06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[4 / 4]</w:t>
      </w:r>
      <w:r>
        <w:rPr>
          <w:color w:val="2D3748"/>
          <w:sz w:val="20"/>
        </w:rPr>
        <w:t xml:space="preserve"> learning modules + offline PDF export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100%</w:t>
      </w:r>
      <w:r>
        <w:rPr>
          <w:color w:val="2D3748"/>
          <w:sz w:val="20"/>
        </w:rPr>
        <w:t>) operated without network connectivity.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Frame Stability &amp; Memory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D-04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Cold start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ms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2500 ms</w:t>
      </w:r>
      <w:r>
        <w:rPr>
          <w:color w:val="2D3748"/>
          <w:sz w:val="20"/>
        </w:rPr>
        <w:t xml:space="preserve">); Jank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10%</w:t>
      </w:r>
      <w:r>
        <w:rPr>
          <w:color w:val="2D3748"/>
          <w:sz w:val="20"/>
        </w:rPr>
        <w:t xml:space="preserve">); Peak PSS RAM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MB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200 MB</w:t>
      </w:r>
      <w:r>
        <w:rPr>
          <w:color w:val="2D3748"/>
          <w:sz w:val="20"/>
        </w:rPr>
        <w:t>).</w:t>
      </w:r>
    </w:p>
    <w:p>
      <w:pPr>
        <w:pStyle w:val="Heading3"/>
      </w:pPr>
      <w:r>
        <w:rPr>
          <w:sz w:val="22"/>
        </w:rPr>
        <w:t xml:space="preserve">2.5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RQ5</w:t>
      </w:r>
      <w:r>
        <w:rPr>
          <w:sz w:val="22"/>
        </w:rPr>
        <w:t xml:space="preserve"> — Stakeholder Usability (SUS), TAM &amp; Diagnostic Utility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SMART-07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O6</w:t>
      </w:r>
      <w:r>
        <w:rPr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695"/>
        <w:gridCol w:w="1476"/>
        <w:gridCol w:w="1331"/>
        <w:gridCol w:w="1476"/>
        <w:gridCol w:w="1491"/>
        <w:gridCol w:w="1320"/>
      </w:tblGrid>
      <w:tr>
        <w:trPr>
          <w:tblHeader w:val="true"/>
        </w:trPr>
        <w:tc>
          <w:tcPr>
            <w:tcW w:type="dxa" w:w="269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Stakeholder Scale / Dimension</w:t>
            </w:r>
          </w:p>
        </w:tc>
        <w:tc>
          <w:tcPr>
            <w:tcW w:type="dxa" w:w="147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Teachers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33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Parents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47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Combined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49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Target Criterion</w:t>
            </w:r>
          </w:p>
        </w:tc>
        <w:tc>
          <w:tcPr>
            <w:tcW w:type="dxa" w:w="1321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Brooke System Usability Scale (SUS, </w:t>
            </w:r>
            <w:r>
              <w:rPr>
                <w:b/>
                <w:color w:val="2D3748"/>
                <w:sz w:val="17"/>
              </w:rPr>
              <w:t>0–100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75.0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TAM Perceived Usefulness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PU1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PU4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TAM Perceived Ease of Use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PEOU1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PEOU3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Pedagogical Alignment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PA1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PA5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N/A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Adult Diagnostic &amp; PDF Task Success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Tasks A1–A4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100%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3. Comparison: Initial MVP Validation (Weeks 1–2) vs. Final System Validation (Week 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15"/>
        <w:gridCol w:w="2286"/>
        <w:gridCol w:w="2194"/>
        <w:gridCol w:w="3494"/>
      </w:tblGrid>
      <w:tr>
        <w:trPr>
          <w:tblHeader w:val="true"/>
        </w:trPr>
        <w:tc>
          <w:tcPr>
            <w:tcW w:type="dxa" w:w="1816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28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Initial MVP Baseline (Weeks 1–2, </w:t>
            </w:r>
            <w:r>
              <w:rPr>
                <w:b/>
                <w:color w:val="FFFFFF"/>
                <w:sz w:val="17"/>
              </w:rPr>
              <w:t>N = 18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195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Final Refactored System (Week 12,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v1.​2.​0-rc2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349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Net Improvement &amp; Engineering Root Cause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Phoneme Audio Purity (Gate 3)</w:t>
            </w:r>
          </w:p>
        </w:tc>
        <w:tc>
          <w:tcPr>
            <w:tcW w:type="dxa" w:w="22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3.​10 / 5.​00</w:t>
            </w:r>
            <w:r>
              <w:rPr>
                <w:color w:val="2D3748"/>
                <w:sz w:val="17"/>
              </w:rPr>
              <w:t xml:space="preserve"> (Schwa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/​ʌ/</w:t>
            </w:r>
            <w:r>
              <w:rPr>
                <w:color w:val="2D3748"/>
                <w:sz w:val="17"/>
              </w:rPr>
              <w:t xml:space="preserve"> on stop consonants)</w:t>
            </w:r>
          </w:p>
        </w:tc>
        <w:tc>
          <w:tcPr>
            <w:tcW w:type="dxa" w:w="219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(26/26 Pass)</w:t>
            </w:r>
          </w:p>
        </w:tc>
        <w:tc>
          <w:tcPr>
            <w:tcW w:type="dxa" w:w="349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Audited human/Kokoro/Chatterbox/ElevenLabs clips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09a–09c, 15b, 19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 xml:space="preserve"> ASR Child Agreement</w:t>
            </w:r>
          </w:p>
        </w:tc>
        <w:tc>
          <w:tcPr>
            <w:tcW w:type="dxa" w:w="22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2.​85 / 5.​00</w:t>
            </w:r>
            <w:r>
              <w:rPr>
                <w:color w:val="2D3748"/>
                <w:sz w:val="17"/>
              </w:rPr>
              <w:t xml:space="preserve"> (High false-rejects &amp; foil acceptance)</w:t>
            </w:r>
          </w:p>
        </w:tc>
        <w:tc>
          <w:tcPr>
            <w:tcW w:type="dxa" w:w="219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Agreement /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FRR</w:t>
            </w:r>
          </w:p>
        </w:tc>
        <w:tc>
          <w:tcPr>
            <w:tcW w:type="dxa" w:w="34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Constrained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SpeechValidator</w:t>
            </w:r>
            <w:r>
              <w:rPr>
                <w:color w:val="2D3748"/>
                <w:sz w:val="17"/>
              </w:rPr>
              <w:t xml:space="preserve"> grammar + foil rejection + non-punitive 3-attempt scaffolding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02, 05, 13, 21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Word Blending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Blend It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286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Absent in MVP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</w:t>
            </w:r>
            <w:r>
              <w:rPr>
                <w:color w:val="2D3748"/>
                <w:sz w:val="17"/>
              </w:rPr>
              <w:t xml:space="preserve"> words)</w:t>
            </w:r>
          </w:p>
        </w:tc>
        <w:tc>
          <w:tcPr>
            <w:tcW w:type="dxa" w:w="2195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33 Decodable CVC/VVC Words across 6 Groups</w:t>
            </w:r>
          </w:p>
        </w:tc>
        <w:tc>
          <w:tcPr>
            <w:tcW w:type="dxa" w:w="349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Full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BlendItScreen</w:t>
            </w:r>
            <w:r>
              <w:rPr>
                <w:color w:val="2D3748"/>
                <w:sz w:val="17"/>
              </w:rPr>
              <w:t xml:space="preserve"> + non-solved tile deal guard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08, 15, 25, 31f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Child Touch &amp; Stage Ergonomics</w:t>
            </w:r>
          </w:p>
        </w:tc>
        <w:tc>
          <w:tcPr>
            <w:tcW w:type="dxa" w:w="22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3.​20 / 5.​00</w:t>
            </w:r>
            <w:r>
              <w:rPr>
                <w:color w:val="2D3748"/>
                <w:sz w:val="17"/>
              </w:rPr>
              <w:t xml:space="preserve"> (Sub-48dp buttons, competing gradients)</w:t>
            </w:r>
          </w:p>
        </w:tc>
        <w:tc>
          <w:tcPr>
            <w:tcW w:type="dxa" w:w="219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 xml:space="preserve">100% </w:t>
            </w:r>
            <w:r>
              <w:rPr>
                <w:b/>
                <w:color w:val="2D3748"/>
                <w:sz w:val="17"/>
              </w:rPr>
              <w:t>≥ 64 dp</w:t>
            </w:r>
            <w:r>
              <w:rPr>
                <w:b/>
                <w:color w:val="2D3748"/>
                <w:sz w:val="17"/>
              </w:rPr>
              <w:t xml:space="preserve"> targets + Duolingo ABC Grounded Stages</w:t>
            </w:r>
          </w:p>
        </w:tc>
        <w:tc>
          <w:tcPr>
            <w:tcW w:type="dxa" w:w="34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LessonScaffold</w:t>
            </w:r>
            <w:r>
              <w:rPr>
                <w:color w:val="2D3748"/>
                <w:sz w:val="17"/>
              </w:rPr>
              <w:t>, 64dp child controls, Argon 4 illustrations, and Card 32 grounded horizon stages.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04 Results &amp;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