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463040" cy="1034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i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3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b/>
          <w:color w:val="1F3A3D"/>
          <w:sz w:val="26"/>
        </w:rPr>
        <w:t>CEBU INSTITUTE OF TECHNOLOGY – UNIVERSITY</w:t>
      </w:r>
    </w:p>
    <w:p>
      <w:pPr>
        <w:spacing w:before="0" w:after="40"/>
        <w:jc w:val="center"/>
      </w:pPr>
      <w:r>
        <w:rPr>
          <w:color w:val="2D3748"/>
          <w:sz w:val="22"/>
        </w:rPr>
        <w:t>College of Computer Studies</w:t>
      </w:r>
    </w:p>
    <w:p>
      <w:pPr>
        <w:spacing w:before="720" w:after="200"/>
        <w:jc w:val="center"/>
      </w:pPr>
      <w:r>
        <w:rPr>
          <w:b/>
          <w:color w:val="1F3A3D"/>
          <w:sz w:val="40"/>
        </w:rPr>
        <w:t>Recommendations and Post-Validation Improvements (</w:t>
      </w:r>
      <w:r>
        <w:rPr>
          <w:rFonts w:ascii="Consolas" w:hAnsi="Consolas" w:cs="Consolas" w:eastAsia="Consolas"/>
          <w:b/>
          <w:i w:val="0"/>
          <w:color w:val="1F3A3D"/>
          <w:sz w:val="39"/>
        </w:rPr>
        <w:t>05_Recommendations_and_Improvements</w:t>
      </w:r>
      <w:r>
        <w:rPr>
          <w:b/>
          <w:color w:val="1F3A3D"/>
          <w:sz w:val="40"/>
        </w:rPr>
        <w:t>)</w:t>
      </w:r>
    </w:p>
    <w:p>
      <w:pPr>
        <w:spacing w:before="120" w:after="40"/>
        <w:jc w:val="center"/>
      </w:pPr>
      <w:r>
        <w:rPr>
          <w:b/>
          <w:color w:val="6B4E71"/>
          <w:sz w:val="32"/>
        </w:rPr>
        <w:t>PlayIT</w:t>
      </w:r>
    </w:p>
    <w:p>
      <w:pPr>
        <w:spacing w:before="0" w:after="0"/>
        <w:jc w:val="center"/>
      </w:pPr>
      <w:r>
        <w:rPr>
          <w:color w:val="6B4E71"/>
          <w:sz w:val="23"/>
        </w:rPr>
        <w:t>An Offline-First Gamified Early Literacy Mobile Application</w:t>
      </w:r>
    </w:p>
    <w:p>
      <w:pPr>
        <w:spacing w:before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Course &amp; Section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IT411 (Section G7) — Capstone &amp; Research 2 | Semester 1, AY 2026–2027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Group Code / Team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2627-sem1-it411-56</w:t>
            </w:r>
            <w:r>
              <w:rPr>
                <w:color w:val="2D3748"/>
                <w:sz w:val="19"/>
              </w:rPr>
              <w:t xml:space="preserve"> — Group 56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Riva, Zendrix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Palis, John James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Miel, Kaysean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Durano, Ashlee Skye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Bien, Erik Samuel</w:t>
            </w:r>
            <w:r>
              <w:rPr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Adviser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 xml:space="preserve">Mr. Joemarie C. Amparo | </w:t>
            </w:r>
            <w:r>
              <w:rPr>
                <w:b/>
                <w:color w:val="2D3748"/>
                <w:sz w:val="19"/>
              </w:rPr>
              <w:t>Course Instructor:</w:t>
            </w:r>
            <w:r>
              <w:rPr>
                <w:color w:val="2D3748"/>
                <w:sz w:val="19"/>
              </w:rPr>
              <w:t xml:space="preserve"> Mr. Ralph P. Laviste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Deliverable Reference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Week 12 Deliverables 3, 4 &amp; 5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03_Testing_Evidence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04_Results_and_Analysis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05_Recommendations_and_Improvements</w:t>
            </w:r>
            <w:r>
              <w:rPr>
                <w:color w:val="2D3748"/>
                <w:sz w:val="19"/>
              </w:rPr>
              <w:t>, Due October 31, 2026)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 xml:space="preserve">Folder 05 Template: </w:t>
      </w:r>
      <w:r>
        <w:rPr>
          <w:rFonts w:ascii="Consolas" w:hAnsi="Consolas" w:cs="Consolas" w:eastAsia="Consolas"/>
          <w:b w:val="0"/>
          <w:i w:val="0"/>
          <w:color w:val="1F3A3D"/>
          <w:sz w:val="29"/>
        </w:rPr>
        <w:t>05_Recommendations_and_Improvements/RECOMMENDATIONS_AND_POST_VALIDATION_IMPROVEMENTS.md</w:t>
      </w:r>
    </w:p>
    <w:p>
      <w:pPr>
        <w:pStyle w:val="Heading2"/>
      </w:pPr>
      <w:r>
        <w:rPr>
          <w:sz w:val="25"/>
        </w:rPr>
        <w:t>1. Issues &amp; Concerns Raised by Users or Stakeholders During Final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002"/>
        <w:gridCol w:w="1163"/>
        <w:gridCol w:w="1379"/>
        <w:gridCol w:w="4433"/>
        <w:gridCol w:w="1812"/>
      </w:tblGrid>
      <w:tr>
        <w:trPr>
          <w:tblHeader w:val="true"/>
        </w:trPr>
        <w:tc>
          <w:tcPr>
            <w:tcW w:type="dxa" w:w="1003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Issue ID</w:t>
            </w:r>
          </w:p>
        </w:tc>
        <w:tc>
          <w:tcPr>
            <w:tcW w:type="dxa" w:w="1164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Source Cohort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1380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Module / Screen Affected</w:t>
            </w:r>
          </w:p>
        </w:tc>
        <w:tc>
          <w:tcPr>
            <w:tcW w:type="dxa" w:w="4434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Description of Observed Issue or Stakeholder Feedback</w:t>
            </w:r>
          </w:p>
        </w:tc>
        <w:tc>
          <w:tcPr>
            <w:tcW w:type="dxa" w:w="181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Severity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Critical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Major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Minor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Enhancement</w:t>
            </w:r>
            <w:r>
              <w:rPr>
                <w:b/>
                <w:color w:val="FFFFFF"/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1003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FV-01</w:t>
            </w:r>
          </w:p>
        </w:tc>
        <w:tc>
          <w:tcPr>
            <w:tcW w:type="dxa" w:w="11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138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4434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[Populate from Instrument B / Instrument E OE-02 findings]</w:t>
            </w:r>
          </w:p>
        </w:tc>
        <w:tc>
          <w:tcPr>
            <w:tcW w:type="dxa" w:w="181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</w:tr>
      <w:tr>
        <w:trPr>
          <w:cantSplit w:val="true"/>
        </w:trPr>
        <w:tc>
          <w:tcPr>
            <w:tcW w:type="dxa" w:w="1003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FV-02</w:t>
            </w:r>
          </w:p>
        </w:tc>
        <w:tc>
          <w:tcPr>
            <w:tcW w:type="dxa" w:w="1164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138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4434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[Populate from Instrument B / Instrument E OE-02 findings]</w:t>
            </w:r>
          </w:p>
        </w:tc>
        <w:tc>
          <w:tcPr>
            <w:tcW w:type="dxa" w:w="181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</w:tr>
      <w:tr>
        <w:trPr>
          <w:cantSplit w:val="true"/>
        </w:trPr>
        <w:tc>
          <w:tcPr>
            <w:tcW w:type="dxa" w:w="1003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FV-03</w:t>
            </w:r>
          </w:p>
        </w:tc>
        <w:tc>
          <w:tcPr>
            <w:tcW w:type="dxa" w:w="11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138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4434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[Populate from Instrument B / Instrument E OE-02 findings]</w:t>
            </w:r>
          </w:p>
        </w:tc>
        <w:tc>
          <w:tcPr>
            <w:tcW w:type="dxa" w:w="181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2. Prioritized Recommended Improvements &amp; Corrective Actions Taken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63"/>
        <w:gridCol w:w="1035"/>
        <w:gridCol w:w="2567"/>
        <w:gridCol w:w="1968"/>
        <w:gridCol w:w="2557"/>
      </w:tblGrid>
      <w:tr>
        <w:trPr>
          <w:tblHeader w:val="true"/>
        </w:trPr>
        <w:tc>
          <w:tcPr>
            <w:tcW w:type="dxa" w:w="1664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Priority Rank</w:t>
            </w:r>
          </w:p>
        </w:tc>
        <w:tc>
          <w:tcPr>
            <w:tcW w:type="dxa" w:w="1035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Issue ID</w:t>
            </w:r>
          </w:p>
        </w:tc>
        <w:tc>
          <w:tcPr>
            <w:tcW w:type="dxa" w:w="2567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Recommended Improvement / Corrective Action</w:t>
            </w:r>
          </w:p>
        </w:tc>
        <w:tc>
          <w:tcPr>
            <w:tcW w:type="dxa" w:w="196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Action Status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Implemented in Code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Documented in SRS/​SDD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Scheduled for Future Work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255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Verification / Commit Reference</w:t>
            </w:r>
          </w:p>
        </w:tc>
      </w:tr>
      <w:tr>
        <w:trPr>
          <w:cantSplit w:val="true"/>
        </w:trPr>
        <w:tc>
          <w:tcPr>
            <w:tcW w:type="dxa" w:w="1664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P1 (High)</w:t>
            </w:r>
          </w:p>
        </w:tc>
        <w:tc>
          <w:tcPr>
            <w:tcW w:type="dxa" w:w="103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FV-01</w:t>
            </w:r>
          </w:p>
        </w:tc>
        <w:tc>
          <w:tcPr>
            <w:tcW w:type="dxa" w:w="2567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[Action description]</w:t>
            </w:r>
          </w:p>
        </w:tc>
        <w:tc>
          <w:tcPr>
            <w:tcW w:type="dxa" w:w="196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[Status]</w:t>
            </w:r>
          </w:p>
        </w:tc>
        <w:tc>
          <w:tcPr>
            <w:tcW w:type="dxa" w:w="255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[Commit / Test ID]</w:t>
            </w:r>
          </w:p>
        </w:tc>
      </w:tr>
      <w:tr>
        <w:trPr>
          <w:cantSplit w:val="true"/>
        </w:trPr>
        <w:tc>
          <w:tcPr>
            <w:tcW w:type="dxa" w:w="1664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P2 (Medium)</w:t>
            </w:r>
          </w:p>
        </w:tc>
        <w:tc>
          <w:tcPr>
            <w:tcW w:type="dxa" w:w="1035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FV-02</w:t>
            </w:r>
          </w:p>
        </w:tc>
        <w:tc>
          <w:tcPr>
            <w:tcW w:type="dxa" w:w="256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[Action description]</w:t>
            </w:r>
          </w:p>
        </w:tc>
        <w:tc>
          <w:tcPr>
            <w:tcW w:type="dxa" w:w="196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[Status]</w:t>
            </w:r>
          </w:p>
        </w:tc>
        <w:tc>
          <w:tcPr>
            <w:tcW w:type="dxa" w:w="255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[Commit / Test ID]</w:t>
            </w:r>
          </w:p>
        </w:tc>
      </w:tr>
      <w:tr>
        <w:trPr>
          <w:cantSplit w:val="true"/>
        </w:trPr>
        <w:tc>
          <w:tcPr>
            <w:tcW w:type="dxa" w:w="1664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P3 (Low)</w:t>
            </w:r>
          </w:p>
        </w:tc>
        <w:tc>
          <w:tcPr>
            <w:tcW w:type="dxa" w:w="103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FV-03</w:t>
            </w:r>
          </w:p>
        </w:tc>
        <w:tc>
          <w:tcPr>
            <w:tcW w:type="dxa" w:w="2567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[Action description]</w:t>
            </w:r>
          </w:p>
        </w:tc>
        <w:tc>
          <w:tcPr>
            <w:tcW w:type="dxa" w:w="196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[Status]</w:t>
            </w:r>
          </w:p>
        </w:tc>
        <w:tc>
          <w:tcPr>
            <w:tcW w:type="dxa" w:w="255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[Commit / Test ID]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3. Updates Required to Software, Technical Documentation, or Test Cases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Source Code Updates: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[List any post-validation hotfixes or tuning commits]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SRS / SDD / SPMP / STD / RTM Updates: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[List section revisions reflecting final validation outcomes]</w:t>
      </w:r>
    </w:p>
    <w:p>
      <w:pPr>
        <w:pStyle w:val="Heading2"/>
      </w:pPr>
      <w:r>
        <w:rPr>
          <w:sz w:val="25"/>
        </w:rPr>
        <w:t>4. Remaining Scope Limitations &amp; Recommendations for Future Research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b/>
          <w:color w:val="2D3748"/>
          <w:sz w:val="20"/>
        </w:rPr>
        <w:t>Dialectal &amp; Multilingual Expansion (Cebuano / Bisaya &amp; Tagalog MTB-MLE):</w:t>
      </w:r>
      <w:r>
        <w:rPr>
          <w:color w:val="2D3748"/>
          <w:sz w:val="20"/>
        </w:rPr>
        <w:t xml:space="preserve"> While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playIT v1.2.0</w:t>
      </w:r>
      <w:r>
        <w:rPr>
          <w:color w:val="2D3748"/>
          <w:sz w:val="20"/>
        </w:rPr>
        <w:t xml:space="preserve"> targets the 26 English alphabet phonemes and 33 English CVC words using a Marungko-inspired sequence, future iterations can add dedicated Bisaya and Filipino orthography modules.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b/>
          <w:color w:val="2D3748"/>
          <w:sz w:val="20"/>
        </w:rPr>
        <w:t>Longitudinal Classroom Retention Study:</w:t>
      </w:r>
      <w:r>
        <w:rPr>
          <w:color w:val="2D3748"/>
          <w:sz w:val="20"/>
        </w:rPr>
        <w:t xml:space="preserve"> Extending the 7-day retention window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RetentionCalculator</w:t>
      </w:r>
      <w:r>
        <w:rPr>
          <w:color w:val="2D3748"/>
          <w:sz w:val="20"/>
        </w:rPr>
        <w:t>) to a full 8-week DepEd grading quarter across multiple public schools to measure longitudinal reading fluency gains (EGRA / Phil-IRI alignment).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b/>
          <w:color w:val="2D3748"/>
          <w:sz w:val="20"/>
        </w:rPr>
        <w:t>Adaptive Acoustic Calibration for High-Noise Public Classrooms:</w:t>
      </w:r>
      <w:r>
        <w:rPr>
          <w:color w:val="2D3748"/>
          <w:sz w:val="20"/>
        </w:rPr>
        <w:t xml:space="preserve"> Expanding the ambient noise detector in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SayItViewModel</w:t>
      </w:r>
      <w:r>
        <w:rPr>
          <w:color w:val="2D3748"/>
          <w:sz w:val="20"/>
        </w:rPr>
        <w:t xml:space="preserve"> with adaptive SNR thresholds for 40-student classrooms without external lapel microphones.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18096"/>
        <w:sz w:val="16"/>
      </w:rPr>
      <w:t xml:space="preserve">IT411 Capstone &amp; Research 2  ·  CIT-U College of Computer Studies  ·  Page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PAGE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  <w:r>
      <w:rPr>
        <w:rFonts w:ascii="Arial" w:hAnsi="Arial" w:cs="Arial" w:eastAsia="Arial"/>
        <w:color w:val="718096"/>
        <w:sz w:val="16"/>
      </w:rPr>
      <w:t xml:space="preserve"> of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NUMPAGES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0D8"/>
      </w:pBdr>
    </w:pPr>
    <w:r>
      <w:rPr>
        <w:rFonts w:ascii="Arial" w:hAnsi="Arial" w:cs="Arial" w:eastAsia="Arial"/>
        <w:color w:val="718096"/>
        <w:sz w:val="16"/>
      </w:rPr>
      <w:t>PlayIT  |  05 Recommendations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 w:cs="Arial" w:eastAsia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="Arial" w:hAnsi="Arial" w:cs="Arial" w:eastAsia="Arial"/>
      <w:b/>
      <w:bCs/>
      <w:i w:val="0"/>
      <w:color w:val="1F3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Arial" w:hAnsi="Arial" w:cs="Arial" w:eastAsia="Arial"/>
      <w:b/>
      <w:bCs/>
      <w:i w:val="0"/>
      <w:color w:val="6B4E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="Arial" w:hAnsi="Arial" w:cs="Arial" w:eastAsia="Arial"/>
      <w:b/>
      <w:bCs/>
      <w:i w:val="0"/>
      <w:color w:val="1F3A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="Arial" w:hAnsi="Arial" w:cs="Arial" w:eastAsia="Arial"/>
      <w:b/>
      <w:bCs/>
      <w:i w:val="0"/>
      <w:iCs/>
      <w:color w:val="2D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