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F3A3D"/>
          <w:sz w:val="36"/>
        </w:rPr>
        <w:t>PlayIT: Offline-First Gamified Early Literacy Mobile Application</w:t>
      </w:r>
    </w:p>
    <w:p>
      <w:pPr>
        <w:spacing w:after="120"/>
      </w:pPr>
      <w:r>
        <w:rPr>
          <w:rFonts w:ascii="Calibri" w:hAnsi="Calibri"/>
          <w:b/>
          <w:color w:val="6B4E71"/>
          <w:sz w:val="24"/>
        </w:rPr>
        <w:t>MVP Validation Framework &amp; Instrument Specification (UPA Model — Weeks 1–2 Deliverable)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0F7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Course: IT411 — Capstone &amp; Research 2 | Semester 1, AY 2026–2027</w:t>
              <w:br/>
              <w:t>Institution: College of Computer Studies, Cebu Institute of Technology – University</w:t>
              <w:br/>
              <w:t>Primary Framework: UPA (Usability, Pedagogy, Accessibility) | Standard 10-Item SUS + Child Smileometer + Pre/Post Phonics Test</w:t>
            </w:r>
          </w:p>
        </w:tc>
      </w:tr>
    </w:tbl>
    <w:p>
      <w:pPr>
        <w:spacing w:after="120"/>
      </w:pPr>
    </w:p>
    <w:p>
      <w:pPr>
        <w:spacing w:before="120" w:after="60"/>
      </w:pPr>
      <w:r>
        <w:rPr>
          <w:rFonts w:ascii="Calibri" w:hAnsi="Calibri"/>
          <w:b/>
          <w:color w:val="1F3A3D"/>
          <w:sz w:val="26"/>
        </w:rPr>
        <w:t>1. Executive Summary &amp; Research Rationale</w:t>
      </w:r>
    </w:p>
    <w:p>
      <w:pPr>
        <w:spacing w:after="120"/>
      </w:pPr>
      <w:r>
        <w:rPr>
          <w:rFonts w:ascii="Calibri" w:hAnsi="Calibri"/>
          <w:color w:val="2D3748"/>
          <w:sz w:val="19"/>
        </w:rPr>
        <w:t>Early childhood literacy education in Philippine public schools faces persistent challenges, including high pupil-to-teacher ratios, inadequate learning materials, and the digital divide characterized by limited or unstable home internet connectivity. While the Department of Education (DepEd) emphasizes the Marungko Approach—a phono-syllabic reading technique that introduces letters based on phonemic frequency rather than alphabetical order—many learners lack access to interactive, individualized phonetic practice at home. PlayIT addresses this gap as a 100% offline-first Android mobile application. It pairs the pedagogical structure of the Marungko Approach with modern offline speech recognition (Vosk), engaging gamification, and diagnostic parental telemetry.</w:t>
        <w:br/>
        <w:br/>
        <w:t>The primary objective of the Weeks 1–2 MVP Validation is formative and diagnostic: (1) evaluate pediatric usability and child task flow; (2) quantify empirical reading gains through structured pre/post assessments; (3) secure expert validation from DepEd reading specialists regarding the 26-letter English Marungko adaptation; and (4) verify offline software stability across target mobile devices before feature lock.</w:t>
      </w:r>
    </w:p>
    <w:p>
      <w:pPr>
        <w:spacing w:before="120" w:after="60"/>
      </w:pPr>
      <w:r>
        <w:rPr>
          <w:rFonts w:ascii="Calibri" w:hAnsi="Calibri"/>
          <w:b/>
          <w:color w:val="1F3A3D"/>
          <w:sz w:val="26"/>
        </w:rPr>
        <w:t>2. Theoretical Evaluation Framework: The UPA Model</w:t>
      </w:r>
    </w:p>
    <w:p>
      <w:pPr>
        <w:spacing w:after="80"/>
      </w:pPr>
      <w:r>
        <w:rPr>
          <w:rFonts w:ascii="Calibri" w:hAnsi="Calibri"/>
          <w:color w:val="2D3748"/>
          <w:sz w:val="19"/>
        </w:rPr>
        <w:t>In educational technology for young learners, generic UI heuristics alone are insufficient. PlayIT adopts the UPA Framework (Usability, Pedagogy, Accessibility) as its primary overarching evaluation architecture across four distinct stakeholder cohorts:</w:t>
      </w:r>
    </w:p>
    <w:p>
      <w:pPr>
        <w:pStyle w:val="ListBullet"/>
        <w:spacing w:after="40"/>
      </w:pPr>
      <w:r>
        <w:rPr>
          <w:b/>
          <w:color w:val="2B7A78"/>
          <w:sz w:val="18"/>
        </w:rPr>
        <w:t xml:space="preserve">Usability (U): </w:t>
      </w:r>
      <w:r>
        <w:rPr>
          <w:color w:val="2D3748"/>
          <w:sz w:val="18"/>
        </w:rPr>
        <w:t>Evaluates navigation ease, interaction efficiency, and user satisfaction. Operationalized via the Child Smileometer (3-point visual scale — Read &amp; MacFarlane, 2006) for young learners, the standardized 10-Item System Usability Scale (SUS — Brooke, 1996) for parents and teachers, and observational task timings (time-on-task, vocal latency).</w:t>
      </w:r>
    </w:p>
    <w:p>
      <w:pPr>
        <w:pStyle w:val="ListBullet"/>
        <w:spacing w:after="40"/>
      </w:pPr>
      <w:r>
        <w:rPr>
          <w:b/>
          <w:color w:val="2B7A78"/>
          <w:sz w:val="18"/>
        </w:rPr>
        <w:t xml:space="preserve">Pedagogy (P): </w:t>
      </w:r>
      <w:r>
        <w:rPr>
          <w:color w:val="2D3748"/>
          <w:sz w:val="18"/>
        </w:rPr>
        <w:t>Evaluates curriculum alignment, phonetic accuracy, and reading efficacy. Operationalized via the DepEd Teacher Pedagogy Checklist (7 Likert items validating Marungko sequence, phoneme modeling, and CVC decodability) and the Child Pre/Post Phonics Assessment measuring empirical letter sound and word-blending score gains.</w:t>
      </w:r>
    </w:p>
    <w:p>
      <w:pPr>
        <w:pStyle w:val="ListBullet"/>
        <w:spacing w:after="40"/>
      </w:pPr>
      <w:r>
        <w:rPr>
          <w:b/>
          <w:color w:val="2B7A78"/>
          <w:sz w:val="18"/>
        </w:rPr>
        <w:t xml:space="preserve">Accessibility (A): </w:t>
      </w:r>
      <w:r>
        <w:rPr>
          <w:color w:val="2D3748"/>
          <w:sz w:val="18"/>
        </w:rPr>
        <w:t>Evaluates physical ergonomics and socioeconomic equity. Operationalized via Pediatric Touch-Target Standards (≥64dp buttons for motor control), high-contrast visual cues (WCAG 2.1 AA), audio-visual dual-coding, and 100% Offline Zero-Data Operability with zero ads or tracking.</w:t>
      </w:r>
    </w:p>
    <w:p>
      <w:pPr>
        <w:spacing w:after="80"/>
      </w:pPr>
    </w:p>
    <w:p>
      <w:pPr>
        <w:spacing w:before="120" w:after="60"/>
      </w:pPr>
      <w:r>
        <w:rPr>
          <w:rFonts w:ascii="Calibri" w:hAnsi="Calibri"/>
          <w:b/>
          <w:color w:val="1F3A3D"/>
          <w:sz w:val="26"/>
        </w:rPr>
        <w:t>3. Curriculum Scope: 26-Letter Marungko English Adaptation &amp; 33 CVC Matrix</w:t>
      </w:r>
    </w:p>
    <w:p>
      <w:pPr>
        <w:spacing w:after="100"/>
      </w:pPr>
      <w:r>
        <w:rPr>
          <w:rFonts w:ascii="Calibri" w:hAnsi="Calibri"/>
          <w:color w:val="2D3748"/>
          <w:sz w:val="19"/>
        </w:rPr>
        <w:t>PlayIT adapts the 28-letter Filipino Marungko sequence to 26 letters (A–Z) for Grade 1 English phonics. The Spanish-derived grapheme Ñ does not exist in English. The digraph NG (/ŋ/) is a phonogram rather than a single letter; introducing it as an isolated grapheme creates phonological confusion for beginner readers. The 26 letters are organized into 7 progressive chapters with 33 decodable CVC Blend It words: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440"/>
            <w:shd w:fill="2B7A7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Chapter</w:t>
            </w:r>
          </w:p>
        </w:tc>
        <w:tc>
          <w:tcPr>
            <w:tcW w:type="dxa" w:w="1584"/>
            <w:shd w:fill="2B7A7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Target Letters</w:t>
            </w:r>
          </w:p>
        </w:tc>
        <w:tc>
          <w:tcPr>
            <w:tcW w:type="dxa" w:w="864"/>
            <w:shd w:fill="2B7A7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Count</w:t>
            </w:r>
          </w:p>
        </w:tc>
        <w:tc>
          <w:tcPr>
            <w:tcW w:type="dxa" w:w="2016"/>
            <w:shd w:fill="2B7A7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Thematic Biome</w:t>
            </w:r>
          </w:p>
        </w:tc>
        <w:tc>
          <w:tcPr>
            <w:tcW w:type="dxa" w:w="4320"/>
            <w:shd w:fill="2B7A7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Canonical Blend It Words (CVC Validated &amp; Seeded in DB)</w:t>
            </w:r>
          </w:p>
        </w:tc>
      </w:tr>
      <w:tr>
        <w:tc>
          <w:tcPr>
            <w:tcW w:type="dxa" w:w="1440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A3D"/>
                <w:sz w:val="16"/>
              </w:rPr>
              <w:t>Chapter 1</w:t>
            </w:r>
          </w:p>
        </w:tc>
        <w:tc>
          <w:tcPr>
            <w:tcW w:type="dxa" w:w="1584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6"/>
              </w:rPr>
              <w:t>m, s, a, i</w:t>
            </w:r>
          </w:p>
        </w:tc>
        <w:tc>
          <w:tcPr>
            <w:tcW w:type="dxa" w:w="864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6"/>
              </w:rPr>
              <w:t>4</w:t>
            </w:r>
          </w:p>
        </w:tc>
        <w:tc>
          <w:tcPr>
            <w:tcW w:type="dxa" w:w="2016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6"/>
              </w:rPr>
              <w:t>Guava Greenery</w:t>
            </w:r>
          </w:p>
        </w:tc>
        <w:tc>
          <w:tcPr>
            <w:tcW w:type="dxa" w:w="4320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6"/>
              </w:rPr>
              <w:t>SAM, SIS, AIM (3 words — Group 1 accepted exception)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A3D"/>
                <w:sz w:val="16"/>
              </w:rPr>
              <w:t>Chapter 2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6"/>
              </w:rPr>
              <w:t>o, b, e, u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6"/>
              </w:rPr>
              <w:t>4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6"/>
              </w:rPr>
              <w:t>Mango Orchard</w:t>
            </w:r>
          </w:p>
        </w:tc>
        <w:tc>
          <w:tcPr>
            <w:tcW w:type="dxa" w:w="43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6"/>
              </w:rPr>
              <w:t>BUS, SUB, MOM, BEE, BIB</w:t>
            </w:r>
          </w:p>
        </w:tc>
      </w:tr>
      <w:tr>
        <w:tc>
          <w:tcPr>
            <w:tcW w:type="dxa" w:w="1440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A3D"/>
                <w:sz w:val="16"/>
              </w:rPr>
              <w:t>Chapter 3</w:t>
            </w:r>
          </w:p>
        </w:tc>
        <w:tc>
          <w:tcPr>
            <w:tcW w:type="dxa" w:w="1584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6"/>
              </w:rPr>
              <w:t>t, k, l, y</w:t>
            </w:r>
          </w:p>
        </w:tc>
        <w:tc>
          <w:tcPr>
            <w:tcW w:type="dxa" w:w="864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6"/>
              </w:rPr>
              <w:t>4</w:t>
            </w:r>
          </w:p>
        </w:tc>
        <w:tc>
          <w:tcPr>
            <w:tcW w:type="dxa" w:w="2016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6"/>
              </w:rPr>
              <w:t>Chocolate Hills</w:t>
            </w:r>
          </w:p>
        </w:tc>
        <w:tc>
          <w:tcPr>
            <w:tcW w:type="dxa" w:w="4320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6"/>
              </w:rPr>
              <w:t>BAT, MAT, KIT, TOY, BOY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A3D"/>
                <w:sz w:val="16"/>
              </w:rPr>
              <w:t>Chapter 4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6"/>
              </w:rPr>
              <w:t>n, g, p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6"/>
              </w:rPr>
              <w:t>3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6"/>
              </w:rPr>
              <w:t>Palm Valley</w:t>
            </w:r>
          </w:p>
        </w:tc>
        <w:tc>
          <w:tcPr>
            <w:tcW w:type="dxa" w:w="43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6"/>
              </w:rPr>
              <w:t>PIG, PAN, BUG, PIN, NAP</w:t>
            </w:r>
          </w:p>
        </w:tc>
      </w:tr>
      <w:tr>
        <w:tc>
          <w:tcPr>
            <w:tcW w:type="dxa" w:w="1440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A3D"/>
                <w:sz w:val="16"/>
              </w:rPr>
              <w:t>Chapter 5</w:t>
            </w:r>
          </w:p>
        </w:tc>
        <w:tc>
          <w:tcPr>
            <w:tcW w:type="dxa" w:w="1584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6"/>
              </w:rPr>
              <w:t>r, d, h, w</w:t>
            </w:r>
          </w:p>
        </w:tc>
        <w:tc>
          <w:tcPr>
            <w:tcW w:type="dxa" w:w="864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6"/>
              </w:rPr>
              <w:t>4</w:t>
            </w:r>
          </w:p>
        </w:tc>
        <w:tc>
          <w:tcPr>
            <w:tcW w:type="dxa" w:w="2016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6"/>
              </w:rPr>
              <w:t>Rice Terraces</w:t>
            </w:r>
          </w:p>
        </w:tc>
        <w:tc>
          <w:tcPr>
            <w:tcW w:type="dxa" w:w="4320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6"/>
              </w:rPr>
              <w:t>DOG, HAT, HEN, BED, WEB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A3D"/>
                <w:sz w:val="16"/>
              </w:rPr>
              <w:t>Chapter 6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6"/>
              </w:rPr>
              <w:t>c, f, j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6"/>
              </w:rPr>
              <w:t>3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6"/>
              </w:rPr>
              <w:t>Coral Reef</w:t>
            </w:r>
          </w:p>
        </w:tc>
        <w:tc>
          <w:tcPr>
            <w:tcW w:type="dxa" w:w="43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6"/>
              </w:rPr>
              <w:t>CAT, FAN, CAP, CUP, JAM</w:t>
            </w:r>
          </w:p>
        </w:tc>
      </w:tr>
      <w:tr>
        <w:tc>
          <w:tcPr>
            <w:tcW w:type="dxa" w:w="1440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A3D"/>
                <w:sz w:val="16"/>
              </w:rPr>
              <w:t>Chapter 7</w:t>
            </w:r>
          </w:p>
        </w:tc>
        <w:tc>
          <w:tcPr>
            <w:tcW w:type="dxa" w:w="1584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6"/>
              </w:rPr>
              <w:t>q, v, x, z</w:t>
            </w:r>
          </w:p>
        </w:tc>
        <w:tc>
          <w:tcPr>
            <w:tcW w:type="dxa" w:w="864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6"/>
              </w:rPr>
              <w:t>4</w:t>
            </w:r>
          </w:p>
        </w:tc>
        <w:tc>
          <w:tcPr>
            <w:tcW w:type="dxa" w:w="2016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6"/>
              </w:rPr>
              <w:t>Mount Pulag Summit</w:t>
            </w:r>
          </w:p>
        </w:tc>
        <w:tc>
          <w:tcPr>
            <w:tcW w:type="dxa" w:w="4320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6"/>
              </w:rPr>
              <w:t>VAN, BOX, FOX, ZOO, QUIZ</w:t>
            </w:r>
          </w:p>
        </w:tc>
      </w:tr>
      <w:tr>
        <w:tc>
          <w:tcPr>
            <w:tcW w:type="dxa" w:w="1440"/>
            <w:shd w:fill="EDF2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A3D"/>
                <w:sz w:val="16"/>
              </w:rPr>
              <w:t>Total</w:t>
            </w:r>
          </w:p>
        </w:tc>
        <w:tc>
          <w:tcPr>
            <w:tcW w:type="dxa" w:w="1584"/>
            <w:shd w:fill="EDF2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3A3D"/>
                <w:sz w:val="16"/>
              </w:rPr>
              <w:t>26 Letters</w:t>
            </w:r>
          </w:p>
        </w:tc>
        <w:tc>
          <w:tcPr>
            <w:tcW w:type="dxa" w:w="864"/>
            <w:shd w:fill="EDF2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A3D"/>
                <w:sz w:val="16"/>
              </w:rPr>
              <w:t>26</w:t>
            </w:r>
          </w:p>
        </w:tc>
        <w:tc>
          <w:tcPr>
            <w:tcW w:type="dxa" w:w="2016"/>
            <w:shd w:fill="EDF2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3A3D"/>
                <w:sz w:val="16"/>
              </w:rPr>
              <w:t>7 Biomes</w:t>
            </w:r>
          </w:p>
        </w:tc>
        <w:tc>
          <w:tcPr>
            <w:tcW w:type="dxa" w:w="4320"/>
            <w:shd w:fill="EDF2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3A3D"/>
                <w:sz w:val="16"/>
              </w:rPr>
              <w:t>33 Decodable CVC Target Words (100% Seeded in Room DB v3)</w:t>
            </w:r>
          </w:p>
        </w:tc>
      </w:tr>
    </w:tbl>
    <w:p>
      <w:r>
        <w:br w:type="page"/>
      </w:r>
    </w:p>
    <w:p>
      <w:pPr>
        <w:spacing w:before="120" w:after="60"/>
      </w:pPr>
      <w:r>
        <w:rPr>
          <w:rFonts w:ascii="Calibri" w:hAnsi="Calibri"/>
          <w:b/>
          <w:color w:val="1F3A3D"/>
          <w:sz w:val="26"/>
        </w:rPr>
        <w:t>4. SMART Evaluation Objectives &amp; Measurable 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296"/>
            <w:shd w:fill="6B4E7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2304"/>
            <w:shd w:fill="6B4E7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Project Objective</w:t>
            </w:r>
          </w:p>
        </w:tc>
        <w:tc>
          <w:tcPr>
            <w:tcW w:type="dxa" w:w="2592"/>
            <w:shd w:fill="6B4E7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Evaluation Metric &amp; Instrument</w:t>
            </w:r>
          </w:p>
        </w:tc>
        <w:tc>
          <w:tcPr>
            <w:tcW w:type="dxa" w:w="2592"/>
            <w:shd w:fill="6B4E7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Target Threshold</w:t>
            </w:r>
          </w:p>
        </w:tc>
        <w:tc>
          <w:tcPr>
            <w:tcW w:type="dxa" w:w="1440"/>
            <w:shd w:fill="6B4E7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Cohort</w:t>
            </w:r>
          </w:p>
        </w:tc>
      </w:tr>
      <w:tr>
        <w:tc>
          <w:tcPr>
            <w:tcW w:type="dxa" w:w="1296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F3A3D"/>
                <w:sz w:val="16"/>
              </w:rPr>
              <w:t>Specific (S)</w:t>
            </w:r>
          </w:p>
        </w:tc>
        <w:tc>
          <w:tcPr>
            <w:tcW w:type="dxa" w:w="2304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Verify child learning &amp; task completion across core sublevels.</w:t>
            </w:r>
          </w:p>
        </w:tc>
        <w:tc>
          <w:tcPr>
            <w:tcW w:type="dxa" w:w="2592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Task completion rate; 1st-pass ASR vocal accuracy; time-on-task.</w:t>
            </w:r>
          </w:p>
        </w:tc>
        <w:tc>
          <w:tcPr>
            <w:tcW w:type="dxa" w:w="2592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≥ 85% task completion without help; ≥ 75% ASR first-pass accuracy.</w:t>
            </w:r>
          </w:p>
        </w:tc>
        <w:tc>
          <w:tcPr>
            <w:tcW w:type="dxa" w:w="1440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Early Learners (N=12)</w:t>
            </w:r>
          </w:p>
        </w:tc>
      </w:tr>
      <w:tr>
        <w:tc>
          <w:tcPr>
            <w:tcW w:type="dxa" w:w="129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F3A3D"/>
                <w:sz w:val="16"/>
              </w:rPr>
              <w:t>Measurable (M)</w:t>
            </w:r>
          </w:p>
        </w:tc>
        <w:tc>
          <w:tcPr>
            <w:tcW w:type="dxa" w:w="230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Quantify usability &amp; caregiver acceptance with standard scales.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10-Item SUS score; Child Smileometer; TAM constructs (PU, BI).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Mean SUS ≥ 75.0 (Grade B+); Smileometer ≥ 2.6/3.0; TAM PU ≥ 4.2/5.0.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Parents &amp; Teachers (N=15)</w:t>
            </w:r>
          </w:p>
        </w:tc>
      </w:tr>
      <w:tr>
        <w:tc>
          <w:tcPr>
            <w:tcW w:type="dxa" w:w="1296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F3A3D"/>
                <w:sz w:val="16"/>
              </w:rPr>
              <w:t>Achievable (A)</w:t>
            </w:r>
          </w:p>
        </w:tc>
        <w:tc>
          <w:tcPr>
            <w:tcW w:type="dxa" w:w="2304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Validate curriculum alignment &amp; measure empirical learning gain.</w:t>
            </w:r>
          </w:p>
        </w:tc>
        <w:tc>
          <w:tcPr>
            <w:tcW w:type="dxa" w:w="2592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Teacher Pedagogy Checklist (7 items); Child Pre/Post Phonics Assessment.</w:t>
            </w:r>
          </w:p>
        </w:tc>
        <w:tc>
          <w:tcPr>
            <w:tcW w:type="dxa" w:w="2592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100% agreement (≥ 4.0/5.0); Statistically significant gain (p &lt; 0.05).</w:t>
            </w:r>
          </w:p>
        </w:tc>
        <w:tc>
          <w:tcPr>
            <w:tcW w:type="dxa" w:w="1440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DepEd Teachers (N=5) + Learners</w:t>
            </w:r>
          </w:p>
        </w:tc>
      </w:tr>
      <w:tr>
        <w:tc>
          <w:tcPr>
            <w:tcW w:type="dxa" w:w="129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F3A3D"/>
                <w:sz w:val="16"/>
              </w:rPr>
              <w:t>Relevant (R)</w:t>
            </w:r>
          </w:p>
        </w:tc>
        <w:tc>
          <w:tcPr>
            <w:tcW w:type="dxa" w:w="230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Ensure 100% offline persistence, data privacy, and diagnostic speed.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Room DB persistence audit; PDF export time; Noise gate test.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0% data loss on force-close; PDF export ≤ 3.0s; Noise alert at &gt;40dB.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Technical Evaluators (N=3)</w:t>
            </w:r>
          </w:p>
        </w:tc>
      </w:tr>
      <w:tr>
        <w:tc>
          <w:tcPr>
            <w:tcW w:type="dxa" w:w="1296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F3A3D"/>
                <w:sz w:val="16"/>
              </w:rPr>
              <w:t>Time-Bound (T)</w:t>
            </w:r>
          </w:p>
        </w:tc>
        <w:tc>
          <w:tcPr>
            <w:tcW w:type="dxa" w:w="2304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Execute validation trials, analyze data, and refactor SRS/SDD.</w:t>
            </w:r>
          </w:p>
        </w:tc>
        <w:tc>
          <w:tcPr>
            <w:tcW w:type="dxa" w:w="2592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Milestone schedule mapped to IT411 Capstone 2 calendar.</w:t>
            </w:r>
          </w:p>
        </w:tc>
        <w:tc>
          <w:tcPr>
            <w:tcW w:type="dxa" w:w="2592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Protocol: Sept 13; Field Trials: Sept 18; Refactored SRS/SDD: Sept 19.</w:t>
            </w:r>
          </w:p>
        </w:tc>
        <w:tc>
          <w:tcPr>
            <w:tcW w:type="dxa" w:w="1440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Research Team (Total N=30)</w:t>
            </w:r>
          </w:p>
        </w:tc>
      </w:tr>
    </w:tbl>
    <w:p>
      <w:pPr>
        <w:spacing w:after="80"/>
      </w:pPr>
    </w:p>
    <w:p>
      <w:pPr>
        <w:spacing w:before="120" w:after="60"/>
      </w:pPr>
      <w:r>
        <w:rPr>
          <w:rFonts w:ascii="Calibri" w:hAnsi="Calibri"/>
          <w:b/>
          <w:color w:val="1F3A3D"/>
          <w:sz w:val="26"/>
        </w:rPr>
        <w:t>5. Stakeholder Mapping &amp; Questionnaire Item Cross-Walk (UPA Model)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152"/>
            <w:shd w:fill="2B7A78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FFFFFF"/>
                <w:sz w:val="15"/>
              </w:rPr>
              <w:t>Code</w:t>
            </w:r>
          </w:p>
        </w:tc>
        <w:tc>
          <w:tcPr>
            <w:tcW w:type="dxa" w:w="3744"/>
            <w:shd w:fill="2B7A78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FFFFFF"/>
                <w:sz w:val="15"/>
              </w:rPr>
              <w:t>Evaluation Criterion / Question Item</w:t>
            </w:r>
          </w:p>
        </w:tc>
        <w:tc>
          <w:tcPr>
            <w:tcW w:type="dxa" w:w="2016"/>
            <w:shd w:fill="2B7A78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FFFFFF"/>
                <w:sz w:val="15"/>
              </w:rPr>
              <w:t>UPA Construct</w:t>
            </w:r>
          </w:p>
        </w:tc>
        <w:tc>
          <w:tcPr>
            <w:tcW w:type="dxa" w:w="1872"/>
            <w:shd w:fill="2B7A78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FFFFFF"/>
                <w:sz w:val="15"/>
              </w:rPr>
              <w:t>Target Respondent</w:t>
            </w:r>
          </w:p>
        </w:tc>
        <w:tc>
          <w:tcPr>
            <w:tcW w:type="dxa" w:w="1440"/>
            <w:shd w:fill="2B7A78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FFFFFF"/>
                <w:sz w:val="15"/>
              </w:rPr>
              <w:t>Scale</w:t>
            </w:r>
          </w:p>
        </w:tc>
      </w:tr>
      <w:tr>
        <w:tc>
          <w:tcPr>
            <w:tcW w:type="dxa" w:w="1152"/>
            <w:shd w:fill="F7FAFC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1F3A3D"/>
                <w:sz w:val="15"/>
              </w:rPr>
              <w:t>PED-01</w:t>
            </w:r>
          </w:p>
        </w:tc>
        <w:tc>
          <w:tcPr>
            <w:tcW w:type="dxa" w:w="3744"/>
            <w:shd w:fill="F7FAFC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Letter progression strictly follows DepEd Marungko frequency approach.</w:t>
            </w:r>
          </w:p>
        </w:tc>
        <w:tc>
          <w:tcPr>
            <w:tcW w:type="dxa" w:w="2016"/>
            <w:shd w:fill="F7FAFC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Pedagogy: Sequence</w:t>
            </w:r>
          </w:p>
        </w:tc>
        <w:tc>
          <w:tcPr>
            <w:tcW w:type="dxa" w:w="1872"/>
            <w:shd w:fill="F7FAFC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Teachers / SMEs</w:t>
            </w:r>
          </w:p>
        </w:tc>
        <w:tc>
          <w:tcPr>
            <w:tcW w:type="dxa" w:w="1440"/>
            <w:shd w:fill="F7FAFC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1–5 Likert</w:t>
            </w:r>
          </w:p>
        </w:tc>
      </w:tr>
      <w:tr>
        <w:tc>
          <w:tcPr>
            <w:tcW w:type="dxa" w:w="1152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1F3A3D"/>
                <w:sz w:val="15"/>
              </w:rPr>
              <w:t>PED-02</w:t>
            </w:r>
          </w:p>
        </w:tc>
        <w:tc>
          <w:tcPr>
            <w:tcW w:type="dxa" w:w="3744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Hear It delivers clear, natural phoneme sound modeling.</w:t>
            </w:r>
          </w:p>
        </w:tc>
        <w:tc>
          <w:tcPr>
            <w:tcW w:type="dxa" w:w="2016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Pedagogy: Audio Model</w:t>
            </w:r>
          </w:p>
        </w:tc>
        <w:tc>
          <w:tcPr>
            <w:tcW w:type="dxa" w:w="1872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Teachers / SMEs</w:t>
            </w:r>
          </w:p>
        </w:tc>
        <w:tc>
          <w:tcPr>
            <w:tcW w:type="dxa" w:w="1440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1–5 Likert</w:t>
            </w:r>
          </w:p>
        </w:tc>
      </w:tr>
      <w:tr>
        <w:tc>
          <w:tcPr>
            <w:tcW w:type="dxa" w:w="1152"/>
            <w:shd w:fill="F7FAFC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1F3A3D"/>
                <w:sz w:val="15"/>
              </w:rPr>
              <w:t>PED-03</w:t>
            </w:r>
          </w:p>
        </w:tc>
        <w:tc>
          <w:tcPr>
            <w:tcW w:type="dxa" w:w="3744"/>
            <w:shd w:fill="F7FAFC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Say It uses age-appropriate example words (Mouse, Sun).</w:t>
            </w:r>
          </w:p>
        </w:tc>
        <w:tc>
          <w:tcPr>
            <w:tcW w:type="dxa" w:w="2016"/>
            <w:shd w:fill="F7FAFC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Pedagogy: Vocalization</w:t>
            </w:r>
          </w:p>
        </w:tc>
        <w:tc>
          <w:tcPr>
            <w:tcW w:type="dxa" w:w="1872"/>
            <w:shd w:fill="F7FAFC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Teachers / SMEs</w:t>
            </w:r>
          </w:p>
        </w:tc>
        <w:tc>
          <w:tcPr>
            <w:tcW w:type="dxa" w:w="1440"/>
            <w:shd w:fill="F7FAFC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1–5 Likert</w:t>
            </w:r>
          </w:p>
        </w:tc>
      </w:tr>
      <w:tr>
        <w:tc>
          <w:tcPr>
            <w:tcW w:type="dxa" w:w="1152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1F3A3D"/>
                <w:sz w:val="15"/>
              </w:rPr>
              <w:t>PED-04</w:t>
            </w:r>
          </w:p>
        </w:tc>
        <w:tc>
          <w:tcPr>
            <w:tcW w:type="dxa" w:w="3744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Find It uses culturally familiar, unambiguous illustrations.</w:t>
            </w:r>
          </w:p>
        </w:tc>
        <w:tc>
          <w:tcPr>
            <w:tcW w:type="dxa" w:w="2016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Pedagogy: Visual Discrim.</w:t>
            </w:r>
          </w:p>
        </w:tc>
        <w:tc>
          <w:tcPr>
            <w:tcW w:type="dxa" w:w="1872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Teachers / SMEs</w:t>
            </w:r>
          </w:p>
        </w:tc>
        <w:tc>
          <w:tcPr>
            <w:tcW w:type="dxa" w:w="1440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1–5 Likert</w:t>
            </w:r>
          </w:p>
        </w:tc>
      </w:tr>
      <w:tr>
        <w:tc>
          <w:tcPr>
            <w:tcW w:type="dxa" w:w="1152"/>
            <w:shd w:fill="F7FAFC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1F3A3D"/>
                <w:sz w:val="15"/>
              </w:rPr>
              <w:t>PED-05</w:t>
            </w:r>
          </w:p>
        </w:tc>
        <w:tc>
          <w:tcPr>
            <w:tcW w:type="dxa" w:w="3744"/>
            <w:shd w:fill="F7FAFC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Blend It uses decodable CVC words respecting cumulative letters.</w:t>
            </w:r>
          </w:p>
        </w:tc>
        <w:tc>
          <w:tcPr>
            <w:tcW w:type="dxa" w:w="2016"/>
            <w:shd w:fill="F7FAFC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Pedagogy: Blending</w:t>
            </w:r>
          </w:p>
        </w:tc>
        <w:tc>
          <w:tcPr>
            <w:tcW w:type="dxa" w:w="1872"/>
            <w:shd w:fill="F7FAFC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Teachers / SMEs</w:t>
            </w:r>
          </w:p>
        </w:tc>
        <w:tc>
          <w:tcPr>
            <w:tcW w:type="dxa" w:w="1440"/>
            <w:shd w:fill="F7FAFC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1–5 Likert</w:t>
            </w:r>
          </w:p>
        </w:tc>
      </w:tr>
      <w:tr>
        <w:tc>
          <w:tcPr>
            <w:tcW w:type="dxa" w:w="1152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1F3A3D"/>
                <w:sz w:val="15"/>
              </w:rPr>
              <w:t>PED-06</w:t>
            </w:r>
          </w:p>
        </w:tc>
        <w:tc>
          <w:tcPr>
            <w:tcW w:type="dxa" w:w="3744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Excluding NG and Ñ for 26-letter English phonics is pedagogically sound.</w:t>
            </w:r>
          </w:p>
        </w:tc>
        <w:tc>
          <w:tcPr>
            <w:tcW w:type="dxa" w:w="2016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Pedagogy: Scope Validity</w:t>
            </w:r>
          </w:p>
        </w:tc>
        <w:tc>
          <w:tcPr>
            <w:tcW w:type="dxa" w:w="1872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Teachers / SMEs</w:t>
            </w:r>
          </w:p>
        </w:tc>
        <w:tc>
          <w:tcPr>
            <w:tcW w:type="dxa" w:w="1440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1–5 Likert</w:t>
            </w:r>
          </w:p>
        </w:tc>
      </w:tr>
      <w:tr>
        <w:tc>
          <w:tcPr>
            <w:tcW w:type="dxa" w:w="1152"/>
            <w:shd w:fill="F7FAFC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1F3A3D"/>
                <w:sz w:val="15"/>
              </w:rPr>
              <w:t>PED-07</w:t>
            </w:r>
          </w:p>
        </w:tc>
        <w:tc>
          <w:tcPr>
            <w:tcW w:type="dxa" w:w="3744"/>
            <w:shd w:fill="F7FAFC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Non-punitive gamification (hearts/stars) reinforces mastery resilience.</w:t>
            </w:r>
          </w:p>
        </w:tc>
        <w:tc>
          <w:tcPr>
            <w:tcW w:type="dxa" w:w="2016"/>
            <w:shd w:fill="F7FAFC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Pedagogy: Motivation</w:t>
            </w:r>
          </w:p>
        </w:tc>
        <w:tc>
          <w:tcPr>
            <w:tcW w:type="dxa" w:w="1872"/>
            <w:shd w:fill="F7FAFC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Teachers / SMEs</w:t>
            </w:r>
          </w:p>
        </w:tc>
        <w:tc>
          <w:tcPr>
            <w:tcW w:type="dxa" w:w="1440"/>
            <w:shd w:fill="F7FAFC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1–5 Likert</w:t>
            </w:r>
          </w:p>
        </w:tc>
      </w:tr>
      <w:tr>
        <w:tc>
          <w:tcPr>
            <w:tcW w:type="dxa" w:w="1152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1F3A3D"/>
                <w:sz w:val="15"/>
              </w:rPr>
              <w:t>PRE-POST</w:t>
            </w:r>
          </w:p>
        </w:tc>
        <w:tc>
          <w:tcPr>
            <w:tcW w:type="dxa" w:w="3744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Child phoneme identification and CVC blending diagnostic assessment.</w:t>
            </w:r>
          </w:p>
        </w:tc>
        <w:tc>
          <w:tcPr>
            <w:tcW w:type="dxa" w:w="2016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Pedagogy: Learning Gain</w:t>
            </w:r>
          </w:p>
        </w:tc>
        <w:tc>
          <w:tcPr>
            <w:tcW w:type="dxa" w:w="1872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Early Learners (Tested)</w:t>
            </w:r>
          </w:p>
        </w:tc>
        <w:tc>
          <w:tcPr>
            <w:tcW w:type="dxa" w:w="1440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0–10 Score Delta</w:t>
            </w:r>
          </w:p>
        </w:tc>
      </w:tr>
      <w:tr>
        <w:tc>
          <w:tcPr>
            <w:tcW w:type="dxa" w:w="1152"/>
            <w:shd w:fill="F7FAFC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1F3A3D"/>
                <w:sz w:val="15"/>
              </w:rPr>
              <w:t>SUS 1–10</w:t>
            </w:r>
          </w:p>
        </w:tc>
        <w:tc>
          <w:tcPr>
            <w:tcW w:type="dxa" w:w="3744"/>
            <w:shd w:fill="F7FAFC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Standard 10-Item System Usability Scale (Brooke, 1996).</w:t>
            </w:r>
          </w:p>
        </w:tc>
        <w:tc>
          <w:tcPr>
            <w:tcW w:type="dxa" w:w="2016"/>
            <w:shd w:fill="F7FAFC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Usability: Standard SUS</w:t>
            </w:r>
          </w:p>
        </w:tc>
        <w:tc>
          <w:tcPr>
            <w:tcW w:type="dxa" w:w="1872"/>
            <w:shd w:fill="F7FAFC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Parents &amp; Teachers</w:t>
            </w:r>
          </w:p>
        </w:tc>
        <w:tc>
          <w:tcPr>
            <w:tcW w:type="dxa" w:w="1440"/>
            <w:shd w:fill="F7FAFC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1–5 Likert (0–100)</w:t>
            </w:r>
          </w:p>
        </w:tc>
      </w:tr>
      <w:tr>
        <w:tc>
          <w:tcPr>
            <w:tcW w:type="dxa" w:w="1152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1F3A3D"/>
                <w:sz w:val="15"/>
              </w:rPr>
              <w:t>SMILEY</w:t>
            </w:r>
          </w:p>
        </w:tc>
        <w:tc>
          <w:tcPr>
            <w:tcW w:type="dxa" w:w="3744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Child Smileometer affective rating (Sad=1, Neutral=2, Happy=3).</w:t>
            </w:r>
          </w:p>
        </w:tc>
        <w:tc>
          <w:tcPr>
            <w:tcW w:type="dxa" w:w="2016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Usability: Affective</w:t>
            </w:r>
          </w:p>
        </w:tc>
        <w:tc>
          <w:tcPr>
            <w:tcW w:type="dxa" w:w="1872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Early Learners</w:t>
            </w:r>
          </w:p>
        </w:tc>
        <w:tc>
          <w:tcPr>
            <w:tcW w:type="dxa" w:w="1440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3-pt Visual Scale</w:t>
            </w:r>
          </w:p>
        </w:tc>
      </w:tr>
      <w:tr>
        <w:tc>
          <w:tcPr>
            <w:tcW w:type="dxa" w:w="1152"/>
            <w:shd w:fill="F7FAFC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1F3A3D"/>
                <w:sz w:val="15"/>
              </w:rPr>
              <w:t>OBS 1–5</w:t>
            </w:r>
          </w:p>
        </w:tc>
        <w:tc>
          <w:tcPr>
            <w:tcW w:type="dxa" w:w="3744"/>
            <w:shd w:fill="F7FAFC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Observational task completion &amp; time-on-task (Map, Hear, Say, Find, Blend).</w:t>
            </w:r>
          </w:p>
        </w:tc>
        <w:tc>
          <w:tcPr>
            <w:tcW w:type="dxa" w:w="2016"/>
            <w:shd w:fill="F7FAFC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Usability: Efficiency</w:t>
            </w:r>
          </w:p>
        </w:tc>
        <w:tc>
          <w:tcPr>
            <w:tcW w:type="dxa" w:w="1872"/>
            <w:shd w:fill="F7FAFC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Child (Observed)</w:t>
            </w:r>
          </w:p>
        </w:tc>
        <w:tc>
          <w:tcPr>
            <w:tcW w:type="dxa" w:w="1440"/>
            <w:shd w:fill="F7FAFC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3-pt + Seconds</w:t>
            </w:r>
          </w:p>
        </w:tc>
      </w:tr>
      <w:tr>
        <w:tc>
          <w:tcPr>
            <w:tcW w:type="dxa" w:w="1152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1F3A3D"/>
                <w:sz w:val="15"/>
              </w:rPr>
              <w:t>ACC-01</w:t>
            </w:r>
          </w:p>
        </w:tc>
        <w:tc>
          <w:tcPr>
            <w:tcW w:type="dxa" w:w="3744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Pediatric touch targets (≥64dp) prevent miss-taps for small hands.</w:t>
            </w:r>
          </w:p>
        </w:tc>
        <w:tc>
          <w:tcPr>
            <w:tcW w:type="dxa" w:w="2016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Accessibility: Ergonomics</w:t>
            </w:r>
          </w:p>
        </w:tc>
        <w:tc>
          <w:tcPr>
            <w:tcW w:type="dxa" w:w="1872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Parents / Teachers</w:t>
            </w:r>
          </w:p>
        </w:tc>
        <w:tc>
          <w:tcPr>
            <w:tcW w:type="dxa" w:w="1440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1–5 Likert</w:t>
            </w:r>
          </w:p>
        </w:tc>
      </w:tr>
      <w:tr>
        <w:tc>
          <w:tcPr>
            <w:tcW w:type="dxa" w:w="1152"/>
            <w:shd w:fill="F7FAFC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1F3A3D"/>
                <w:sz w:val="15"/>
              </w:rPr>
              <w:t>ACC-02</w:t>
            </w:r>
          </w:p>
        </w:tc>
        <w:tc>
          <w:tcPr>
            <w:tcW w:type="dxa" w:w="3744"/>
            <w:shd w:fill="F7FAFC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Audio-visual dual-coding enables pre-readers to navigate independently.</w:t>
            </w:r>
          </w:p>
        </w:tc>
        <w:tc>
          <w:tcPr>
            <w:tcW w:type="dxa" w:w="2016"/>
            <w:shd w:fill="F7FAFC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Accessibility: Dual-Coding</w:t>
            </w:r>
          </w:p>
        </w:tc>
        <w:tc>
          <w:tcPr>
            <w:tcW w:type="dxa" w:w="1872"/>
            <w:shd w:fill="F7FAFC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Parents / Teachers</w:t>
            </w:r>
          </w:p>
        </w:tc>
        <w:tc>
          <w:tcPr>
            <w:tcW w:type="dxa" w:w="1440"/>
            <w:shd w:fill="F7FAFC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1–5 Likert</w:t>
            </w:r>
          </w:p>
        </w:tc>
      </w:tr>
      <w:tr>
        <w:tc>
          <w:tcPr>
            <w:tcW w:type="dxa" w:w="1152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1F3A3D"/>
                <w:sz w:val="15"/>
              </w:rPr>
              <w:t>ACC-03</w:t>
            </w:r>
          </w:p>
        </w:tc>
        <w:tc>
          <w:tcPr>
            <w:tcW w:type="dxa" w:w="3744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High-contrast UI colors and large text meet WCAG 2.1 AA standards.</w:t>
            </w:r>
          </w:p>
        </w:tc>
        <w:tc>
          <w:tcPr>
            <w:tcW w:type="dxa" w:w="2016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Accessibility: Contrast</w:t>
            </w:r>
          </w:p>
        </w:tc>
        <w:tc>
          <w:tcPr>
            <w:tcW w:type="dxa" w:w="1872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Parents / Teachers</w:t>
            </w:r>
          </w:p>
        </w:tc>
        <w:tc>
          <w:tcPr>
            <w:tcW w:type="dxa" w:w="1440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1–5 Likert</w:t>
            </w:r>
          </w:p>
        </w:tc>
      </w:tr>
      <w:tr>
        <w:tc>
          <w:tcPr>
            <w:tcW w:type="dxa" w:w="1152"/>
            <w:shd w:fill="F7FAFC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1F3A3D"/>
                <w:sz w:val="15"/>
              </w:rPr>
              <w:t>ACC-04</w:t>
            </w:r>
          </w:p>
        </w:tc>
        <w:tc>
          <w:tcPr>
            <w:tcW w:type="dxa" w:w="3744"/>
            <w:shd w:fill="F7FAFC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100% offline access ensures equal opportunity with zero mobile data cost.</w:t>
            </w:r>
          </w:p>
        </w:tc>
        <w:tc>
          <w:tcPr>
            <w:tcW w:type="dxa" w:w="2016"/>
            <w:shd w:fill="F7FAFC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Accessibility: Equity</w:t>
            </w:r>
          </w:p>
        </w:tc>
        <w:tc>
          <w:tcPr>
            <w:tcW w:type="dxa" w:w="1872"/>
            <w:shd w:fill="F7FAFC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Parents / Guardians</w:t>
            </w:r>
          </w:p>
        </w:tc>
        <w:tc>
          <w:tcPr>
            <w:tcW w:type="dxa" w:w="1440"/>
            <w:shd w:fill="F7FAFC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1–5 Likert</w:t>
            </w:r>
          </w:p>
        </w:tc>
      </w:tr>
      <w:tr>
        <w:tc>
          <w:tcPr>
            <w:tcW w:type="dxa" w:w="1152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1F3A3D"/>
                <w:sz w:val="15"/>
              </w:rPr>
              <w:t>ACC-05</w:t>
            </w:r>
          </w:p>
        </w:tc>
        <w:tc>
          <w:tcPr>
            <w:tcW w:type="dxa" w:w="3744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Ad-free, zero in-app purchase environment guarantees child safety &amp; privacy.</w:t>
            </w:r>
          </w:p>
        </w:tc>
        <w:tc>
          <w:tcPr>
            <w:tcW w:type="dxa" w:w="2016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Accessibility: Safety</w:t>
            </w:r>
          </w:p>
        </w:tc>
        <w:tc>
          <w:tcPr>
            <w:tcW w:type="dxa" w:w="1872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Parents / Guardians</w:t>
            </w:r>
          </w:p>
        </w:tc>
        <w:tc>
          <w:tcPr>
            <w:tcW w:type="dxa" w:w="1440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1–5 Likert</w:t>
            </w:r>
          </w:p>
        </w:tc>
      </w:tr>
      <w:tr>
        <w:tc>
          <w:tcPr>
            <w:tcW w:type="dxa" w:w="1152"/>
            <w:shd w:fill="F7FAFC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1F3A3D"/>
                <w:sz w:val="15"/>
              </w:rPr>
              <w:t>SYS 1–3</w:t>
            </w:r>
          </w:p>
        </w:tc>
        <w:tc>
          <w:tcPr>
            <w:tcW w:type="dxa" w:w="3744"/>
            <w:shd w:fill="F7FAFC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Technical verification: ASR latency ≤0.5s, 60 FPS UI, Room DB integrity.</w:t>
            </w:r>
          </w:p>
        </w:tc>
        <w:tc>
          <w:tcPr>
            <w:tcW w:type="dxa" w:w="2016"/>
            <w:shd w:fill="F7FAFC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Technical: ISO 25010</w:t>
            </w:r>
          </w:p>
        </w:tc>
        <w:tc>
          <w:tcPr>
            <w:tcW w:type="dxa" w:w="1872"/>
            <w:shd w:fill="F7FAFC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Technical Evaluators</w:t>
            </w:r>
          </w:p>
        </w:tc>
        <w:tc>
          <w:tcPr>
            <w:tcW w:type="dxa" w:w="1440"/>
            <w:shd w:fill="F7FAFC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5"/>
              </w:rPr>
              <w:t>Pass / Fail / ms</w:t>
            </w:r>
          </w:p>
        </w:tc>
      </w:tr>
    </w:tbl>
    <w:p>
      <w:r>
        <w:br w:type="page"/>
      </w:r>
    </w:p>
    <w:p>
      <w:pPr>
        <w:spacing w:before="120" w:after="60"/>
      </w:pPr>
      <w:r>
        <w:rPr>
          <w:rFonts w:ascii="Calibri" w:hAnsi="Calibri"/>
          <w:b/>
          <w:color w:val="1F3A3D"/>
          <w:sz w:val="26"/>
        </w:rPr>
        <w:t>6. Detailed Operationalized Instruments (UPA Model)</w:t>
      </w:r>
    </w:p>
    <w:p>
      <w:pPr>
        <w:spacing w:before="80" w:after="40"/>
      </w:pPr>
      <w:r>
        <w:rPr>
          <w:rFonts w:ascii="Calibri" w:hAnsi="Calibri"/>
          <w:b/>
          <w:color w:val="6B4E71"/>
          <w:sz w:val="22"/>
        </w:rPr>
        <w:t>Part A: Pedagogy (P) — DepEd Teacher Checklist &amp; Child Pre/Post Test</w:t>
      </w:r>
    </w:p>
    <w:p>
      <w:pPr>
        <w:pStyle w:val="Heading3"/>
      </w:pPr>
      <w:r>
        <w:t>1. DepEd Teacher &amp; SME Phonics Checklist (5-Point Likert: 1=Strongly Disagree to 5=Strongly Agree):</w:t>
      </w:r>
    </w:p>
    <w:p>
      <w:pPr>
        <w:pStyle w:val="ListBullet"/>
        <w:spacing w:after="40"/>
      </w:pPr>
      <w:r>
        <w:rPr>
          <w:b/>
        </w:rPr>
        <w:t xml:space="preserve">[PED-01] </w:t>
      </w:r>
      <w:r>
        <w:rPr>
          <w:b/>
        </w:rPr>
        <w:t xml:space="preserve">Sequential Phonics Progression: </w:t>
      </w:r>
      <w:r>
        <w:t>The letter progression strictly follows the sequential DepEd Marungko frequency-based approach.</w:t>
      </w:r>
    </w:p>
    <w:p>
      <w:pPr>
        <w:pStyle w:val="ListBullet"/>
        <w:spacing w:after="40"/>
      </w:pPr>
      <w:r>
        <w:rPr>
          <w:b/>
        </w:rPr>
        <w:t xml:space="preserve">[PED-02] </w:t>
      </w:r>
      <w:r>
        <w:rPr>
          <w:b/>
        </w:rPr>
        <w:t xml:space="preserve">Phonemic Audio Quality: </w:t>
      </w:r>
      <w:r>
        <w:t>Hear It delivers accurate, natural, and clear phoneme sound modeling suitable for beginner Filipino readers.</w:t>
      </w:r>
    </w:p>
    <w:p>
      <w:pPr>
        <w:pStyle w:val="ListBullet"/>
        <w:spacing w:after="40"/>
      </w:pPr>
      <w:r>
        <w:rPr>
          <w:b/>
        </w:rPr>
        <w:t xml:space="preserve">[PED-03] </w:t>
      </w:r>
      <w:r>
        <w:rPr>
          <w:b/>
        </w:rPr>
        <w:t xml:space="preserve">Vocal Production Practice: </w:t>
      </w:r>
      <w:r>
        <w:t>Say It uses age-appropriate example words (e.g., Mouse, Sun) that encourage verbal phonics production without frustration.</w:t>
      </w:r>
    </w:p>
    <w:p>
      <w:pPr>
        <w:pStyle w:val="ListBullet"/>
        <w:spacing w:after="40"/>
      </w:pPr>
      <w:r>
        <w:rPr>
          <w:b/>
        </w:rPr>
        <w:t xml:space="preserve">[PED-04] </w:t>
      </w:r>
      <w:r>
        <w:rPr>
          <w:b/>
        </w:rPr>
        <w:t xml:space="preserve">Visual Picture Discrimination: </w:t>
      </w:r>
      <w:r>
        <w:t>Find It uses illustrations that are culturally familiar, unambiguous, and easily recognizable to Filipino children.</w:t>
      </w:r>
    </w:p>
    <w:p>
      <w:pPr>
        <w:pStyle w:val="ListBullet"/>
        <w:spacing w:after="40"/>
      </w:pPr>
      <w:r>
        <w:rPr>
          <w:b/>
        </w:rPr>
        <w:t xml:space="preserve">[PED-05] </w:t>
      </w:r>
      <w:r>
        <w:rPr>
          <w:b/>
        </w:rPr>
        <w:t xml:space="preserve">Word Blending Feasibility: </w:t>
      </w:r>
      <w:r>
        <w:t>Blend It uses decodable CVC words (e.g., MOM, KIT, PIG, HEN, CAP, WEB) respecting cumulative letter availability.</w:t>
      </w:r>
    </w:p>
    <w:p>
      <w:pPr>
        <w:pStyle w:val="ListBullet"/>
        <w:spacing w:after="40"/>
      </w:pPr>
      <w:r>
        <w:rPr>
          <w:b/>
        </w:rPr>
        <w:t xml:space="preserve">[PED-06] </w:t>
      </w:r>
      <w:r>
        <w:rPr>
          <w:b/>
        </w:rPr>
        <w:t xml:space="preserve">Curriculum Scope Validity: </w:t>
      </w:r>
      <w:r>
        <w:t>Excluding NG (digraph) and Ñ (Spanish loan) to focus on 26 English letters is pedagogically sound for Grade 1.</w:t>
      </w:r>
    </w:p>
    <w:p>
      <w:pPr>
        <w:pStyle w:val="ListBullet"/>
        <w:spacing w:after="40"/>
      </w:pPr>
      <w:r>
        <w:rPr>
          <w:b/>
        </w:rPr>
        <w:t xml:space="preserve">[PED-07] </w:t>
      </w:r>
      <w:r>
        <w:rPr>
          <w:b/>
        </w:rPr>
        <w:t xml:space="preserve">Non-Punitive Gamification: </w:t>
      </w:r>
      <w:r>
        <w:t>Hearts, stars, and gentle retry states support positive learning resilience without cognitive overload.</w:t>
      </w:r>
    </w:p>
    <w:p>
      <w:pPr>
        <w:pStyle w:val="Heading3"/>
      </w:pPr>
      <w:r>
        <w:t>2. Child Empirical Pre/Post Phonics Diagnostic Assessment Protocol:</w:t>
      </w:r>
    </w:p>
    <w:p>
      <w:pPr>
        <w:spacing w:after="60"/>
      </w:pPr>
      <w:r>
        <w:t>Administered before the child interacts with PlayIT (Pre-Test) and immediately following gameplay (Post-Test):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6B4E71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Sub-Test</w:t>
            </w:r>
          </w:p>
        </w:tc>
        <w:tc>
          <w:tcPr>
            <w:tcW w:type="dxa" w:w="2304"/>
            <w:shd w:fill="6B4E71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Diagnostic Stimulus Items</w:t>
            </w:r>
          </w:p>
        </w:tc>
        <w:tc>
          <w:tcPr>
            <w:tcW w:type="dxa" w:w="3600"/>
            <w:shd w:fill="6B4E71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Instruction &amp; Administration Protocol</w:t>
            </w:r>
          </w:p>
        </w:tc>
        <w:tc>
          <w:tcPr>
            <w:tcW w:type="dxa" w:w="2160"/>
            <w:shd w:fill="6B4E71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Scoring Rubric</w:t>
            </w:r>
          </w:p>
        </w:tc>
      </w:tr>
      <w:tr>
        <w:tc>
          <w:tcPr>
            <w:tcW w:type="dxa" w:w="216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Phoneme Sound Recognition</w:t>
            </w:r>
          </w:p>
        </w:tc>
        <w:tc>
          <w:tcPr>
            <w:tcW w:type="dxa" w:w="2304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Letter flashcards: M, S, A, I, B</w:t>
            </w:r>
          </w:p>
        </w:tc>
        <w:tc>
          <w:tcPr>
            <w:tcW w:type="dxa" w:w="360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Show card: "What sound does this letter make?" (Prompt /m/, /s/)</w:t>
            </w:r>
          </w:p>
        </w:tc>
        <w:tc>
          <w:tcPr>
            <w:tcW w:type="dxa" w:w="216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1 pt per correct sound (Max: 5 pts)</w:t>
            </w:r>
          </w:p>
        </w:tc>
      </w:tr>
      <w:tr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Phonetic Picture Match</w:t>
            </w:r>
          </w:p>
        </w:tc>
        <w:tc>
          <w:tcPr>
            <w:tcW w:type="dxa" w:w="230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Picture cards: Mouse, Sun, Apple</w:t>
            </w:r>
          </w:p>
        </w:tc>
        <w:tc>
          <w:tcPr>
            <w:tcW w:type="dxa" w:w="360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Show 3 images: "Which picture starts with the /m/ sound?"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1 pt per correct match (Max: 3 pts)</w:t>
            </w:r>
          </w:p>
        </w:tc>
      </w:tr>
      <w:tr>
        <w:tc>
          <w:tcPr>
            <w:tcW w:type="dxa" w:w="216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CVC Word Blending</w:t>
            </w:r>
          </w:p>
        </w:tc>
        <w:tc>
          <w:tcPr>
            <w:tcW w:type="dxa" w:w="2304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Word cards: SAM, BUS</w:t>
            </w:r>
          </w:p>
        </w:tc>
        <w:tc>
          <w:tcPr>
            <w:tcW w:type="dxa" w:w="360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Show word: "Can you sound out and read this word out loud?"</w:t>
            </w:r>
          </w:p>
        </w:tc>
        <w:tc>
          <w:tcPr>
            <w:tcW w:type="dxa" w:w="216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1 pt per blended word (Max: 2 pts)</w:t>
            </w:r>
          </w:p>
        </w:tc>
      </w:tr>
      <w:tr>
        <w:tc>
          <w:tcPr>
            <w:tcW w:type="dxa" w:w="2160"/>
            <w:shd w:fill="EDF2F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1F3A3D"/>
                <w:sz w:val="16"/>
              </w:rPr>
              <w:t>Total Diagnostic Score</w:t>
            </w:r>
          </w:p>
        </w:tc>
        <w:tc>
          <w:tcPr>
            <w:tcW w:type="dxa" w:w="2304"/>
            <w:shd w:fill="EDF2F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1F3A3D"/>
                <w:sz w:val="16"/>
              </w:rPr>
              <w:t>10 Total Phonics Items</w:t>
            </w:r>
          </w:p>
        </w:tc>
        <w:tc>
          <w:tcPr>
            <w:tcW w:type="dxa" w:w="3600"/>
            <w:shd w:fill="EDF2F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1F3A3D"/>
                <w:sz w:val="16"/>
              </w:rPr>
              <w:t>Calculate empirical score gain: Delta = Post-Test Score minus Pre-Test Score</w:t>
            </w:r>
          </w:p>
        </w:tc>
        <w:tc>
          <w:tcPr>
            <w:tcW w:type="dxa" w:w="2160"/>
            <w:shd w:fill="EDF2F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1F3A3D"/>
                <w:sz w:val="16"/>
              </w:rPr>
              <w:t>Total Score: 0 to 10 Points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Calibri" w:hAnsi="Calibri"/>
          <w:b/>
          <w:color w:val="6B4E71"/>
          <w:sz w:val="22"/>
        </w:rPr>
        <w:t>Part B: Usability (U) — Standard 10-Item SUS &amp; Child Smileometer</w:t>
      </w:r>
    </w:p>
    <w:p>
      <w:pPr>
        <w:pStyle w:val="Heading3"/>
      </w:pPr>
      <w:r>
        <w:t>1. Child Smileometer (Read &amp; MacFarlane, 2006):</w:t>
      </w:r>
    </w:p>
    <w:p>
      <w:pPr>
        <w:spacing w:after="60"/>
      </w:pPr>
      <w:r>
        <w:t>Show the 3 mascot emotion cards immediately post-session: "How did you feel playing with Lily today?" [1 = Sad/Difficult, 2 = Neutral/Okay, 3 = Happy/Fun]. Target: Mean Score ≥ 2.6 / 3.0.</w:t>
      </w:r>
    </w:p>
    <w:p>
      <w:pPr>
        <w:pStyle w:val="Heading3"/>
      </w:pPr>
      <w:r>
        <w:t>2. Parent &amp; Teacher System Usability Scale (Brooke, 1996):</w:t>
      </w:r>
    </w:p>
    <w:p>
      <w:pPr>
        <w:pStyle w:val="ListBullet"/>
        <w:spacing w:after="30"/>
      </w:pPr>
      <w:r>
        <w:rPr>
          <w:b/>
        </w:rPr>
        <w:t xml:space="preserve">[SUS-01] </w:t>
      </w:r>
      <w:r>
        <w:t>I think that I would like to use PlayIT frequently for my child's/students' reading practice.</w:t>
      </w:r>
    </w:p>
    <w:p>
      <w:pPr>
        <w:pStyle w:val="ListBullet"/>
        <w:spacing w:after="30"/>
      </w:pPr>
      <w:r>
        <w:rPr>
          <w:b/>
        </w:rPr>
        <w:t xml:space="preserve">[SUS-02] </w:t>
      </w:r>
      <w:r>
        <w:t>I found the application unnecessarily complex to understand or operate. [Reverse-Scored]</w:t>
      </w:r>
    </w:p>
    <w:p>
      <w:pPr>
        <w:pStyle w:val="ListBullet"/>
        <w:spacing w:after="30"/>
      </w:pPr>
      <w:r>
        <w:rPr>
          <w:b/>
        </w:rPr>
        <w:t xml:space="preserve">[SUS-03] </w:t>
      </w:r>
      <w:r>
        <w:t>I thought the application was easy to use and navigate.</w:t>
      </w:r>
    </w:p>
    <w:p>
      <w:pPr>
        <w:pStyle w:val="ListBullet"/>
        <w:spacing w:after="30"/>
      </w:pPr>
      <w:r>
        <w:rPr>
          <w:b/>
        </w:rPr>
        <w:t xml:space="preserve">[SUS-04] </w:t>
      </w:r>
      <w:r>
        <w:t>I think that I would need the support of a technical person to be able to use this app. [Reverse-Scored]</w:t>
      </w:r>
    </w:p>
    <w:p>
      <w:pPr>
        <w:pStyle w:val="ListBullet"/>
        <w:spacing w:after="30"/>
      </w:pPr>
      <w:r>
        <w:rPr>
          <w:b/>
        </w:rPr>
        <w:t xml:space="preserve">[SUS-05] </w:t>
      </w:r>
      <w:r>
        <w:t>I found the various functions in this system (Hear, Say, Find, Blend, Dashboard) were well integrated.</w:t>
      </w:r>
    </w:p>
    <w:p>
      <w:pPr>
        <w:pStyle w:val="ListBullet"/>
        <w:spacing w:after="30"/>
      </w:pPr>
      <w:r>
        <w:rPr>
          <w:b/>
        </w:rPr>
        <w:t xml:space="preserve">[SUS-06] </w:t>
      </w:r>
      <w:r>
        <w:t>I thought there was too much inconsistency in the interface, audio, or navigation. [Reverse-Scored]</w:t>
      </w:r>
    </w:p>
    <w:p>
      <w:pPr>
        <w:pStyle w:val="ListBullet"/>
        <w:spacing w:after="30"/>
      </w:pPr>
      <w:r>
        <w:rPr>
          <w:b/>
        </w:rPr>
        <w:t xml:space="preserve">[SUS-07] </w:t>
      </w:r>
      <w:r>
        <w:t>I would imagine that most children and parents would learn to use this system very quickly.</w:t>
      </w:r>
    </w:p>
    <w:p>
      <w:pPr>
        <w:pStyle w:val="ListBullet"/>
        <w:spacing w:after="30"/>
      </w:pPr>
      <w:r>
        <w:rPr>
          <w:b/>
        </w:rPr>
        <w:t xml:space="preserve">[SUS-08] </w:t>
      </w:r>
      <w:r>
        <w:t>I found the application very cumbersome or awkward to use. [Reverse-Scored]</w:t>
      </w:r>
    </w:p>
    <w:p>
      <w:pPr>
        <w:pStyle w:val="ListBullet"/>
        <w:spacing w:after="30"/>
      </w:pPr>
      <w:r>
        <w:rPr>
          <w:b/>
        </w:rPr>
        <w:t xml:space="preserve">[SUS-09] </w:t>
      </w:r>
      <w:r>
        <w:t>I felt very confident using the application and guiding my child through lessons.</w:t>
      </w:r>
    </w:p>
    <w:p>
      <w:pPr>
        <w:pStyle w:val="ListBullet"/>
        <w:spacing w:after="30"/>
      </w:pPr>
      <w:r>
        <w:rPr>
          <w:b/>
        </w:rPr>
        <w:t xml:space="preserve">[SUS-10] </w:t>
      </w:r>
      <w:r>
        <w:t>I needed to learn a lot of things before I could get going with this application. [Reverse-Scored]</w:t>
      </w:r>
    </w:p>
    <w:p>
      <w:r>
        <w:rPr>
          <w:i/>
          <w:color w:val="718096"/>
          <w:sz w:val="16"/>
        </w:rPr>
        <w:t>*Scoring Formula: For positive items (1,3,5,7,9), Score = Scale - 1. For reverse items (2,4,6,8,10), Score = 5 - Scale. Composite SUS = (Sum of Scores) x 2.5 (Normalized 0–100 scale; Target: Mean ≥ 75.0 / Grade B+).</w:t>
      </w:r>
    </w:p>
    <w:p>
      <w:r>
        <w:br w:type="page"/>
      </w:r>
    </w:p>
    <w:p>
      <w:pPr>
        <w:spacing w:before="80" w:after="40"/>
      </w:pPr>
      <w:r>
        <w:rPr>
          <w:rFonts w:ascii="Calibri" w:hAnsi="Calibri"/>
          <w:b/>
          <w:color w:val="6B4E71"/>
          <w:sz w:val="22"/>
        </w:rPr>
        <w:t>Part C: Accessibility (A) — Pediatric Ergonomics &amp; Offline Equity</w:t>
      </w:r>
    </w:p>
    <w:p>
      <w:pPr>
        <w:pStyle w:val="ListBullet"/>
        <w:spacing w:after="40"/>
      </w:pPr>
      <w:r>
        <w:rPr>
          <w:b/>
        </w:rPr>
        <w:t xml:space="preserve">[ACC-01] </w:t>
      </w:r>
      <w:r>
        <w:rPr>
          <w:b/>
        </w:rPr>
        <w:t xml:space="preserve">Pediatric Touch Targets: </w:t>
      </w:r>
      <w:r>
        <w:t>The interactive buttons, letter cards, and microphone icon are large enough (≥64dp) for small child fingers to tap comfortably without accidental miss-taps.</w:t>
      </w:r>
    </w:p>
    <w:p>
      <w:pPr>
        <w:pStyle w:val="ListBullet"/>
        <w:spacing w:after="40"/>
      </w:pPr>
      <w:r>
        <w:rPr>
          <w:b/>
        </w:rPr>
        <w:t xml:space="preserve">[ACC-02] </w:t>
      </w:r>
      <w:r>
        <w:rPr>
          <w:b/>
        </w:rPr>
        <w:t xml:space="preserve">Non-Verbal Audio Dual-Coding: </w:t>
      </w:r>
      <w:r>
        <w:t>Spoken voice instructions and visual animations allow young, non-reading children to understand tasks without needing to read written on-screen text.</w:t>
      </w:r>
    </w:p>
    <w:p>
      <w:pPr>
        <w:pStyle w:val="ListBullet"/>
        <w:spacing w:after="40"/>
      </w:pPr>
      <w:r>
        <w:rPr>
          <w:b/>
        </w:rPr>
        <w:t xml:space="preserve">[ACC-03] </w:t>
      </w:r>
      <w:r>
        <w:rPr>
          <w:b/>
        </w:rPr>
        <w:t xml:space="preserve">High Contrast &amp; Readability: </w:t>
      </w:r>
      <w:r>
        <w:t>High-contrast UI colors and large typography satisfy WCAG 2.1 AA standards, ensuring readability under indoor lighting and outdoor glare.</w:t>
      </w:r>
    </w:p>
    <w:p>
      <w:pPr>
        <w:pStyle w:val="ListBullet"/>
        <w:spacing w:after="40"/>
      </w:pPr>
      <w:r>
        <w:rPr>
          <w:b/>
        </w:rPr>
        <w:t xml:space="preserve">[ACC-04] </w:t>
      </w:r>
      <w:r>
        <w:rPr>
          <w:b/>
        </w:rPr>
        <w:t xml:space="preserve">100% Offline Access &amp; Equity: </w:t>
      </w:r>
      <w:r>
        <w:t>Operating 100% offline without requiring internet, WiFi, or mobile data credits provides equitable, cost-free learning opportunity for low-resource households.</w:t>
      </w:r>
    </w:p>
    <w:p>
      <w:pPr>
        <w:pStyle w:val="ListBullet"/>
        <w:spacing w:after="40"/>
      </w:pPr>
      <w:r>
        <w:rPr>
          <w:b/>
        </w:rPr>
        <w:t xml:space="preserve">[ACC-05] </w:t>
      </w:r>
      <w:r>
        <w:rPr>
          <w:b/>
        </w:rPr>
        <w:t xml:space="preserve">Child Safety &amp; Privacy: </w:t>
      </w:r>
      <w:r>
        <w:t>The total absence of third-party advertisements, external web links, and in-app purchases ensures a secure, distraction-free environment for young learners.</w:t>
      </w:r>
    </w:p>
    <w:p>
      <w:pPr>
        <w:spacing w:before="80" w:after="40"/>
      </w:pPr>
      <w:r>
        <w:rPr>
          <w:rFonts w:ascii="Calibri" w:hAnsi="Calibri"/>
          <w:b/>
          <w:color w:val="6B4E71"/>
          <w:sz w:val="22"/>
        </w:rPr>
        <w:t>Part D: Child Observational Task Rubric &amp; Time-on-Task (Observer Rubric)</w:t>
      </w:r>
    </w:p>
    <w:p>
      <w:pPr>
        <w:pStyle w:val="ListBullet"/>
        <w:spacing w:after="40"/>
      </w:pPr>
      <w:r>
        <w:rPr>
          <w:b/>
        </w:rPr>
        <w:t xml:space="preserve">[OBS-01] </w:t>
      </w:r>
      <w:r>
        <w:rPr>
          <w:b/>
        </w:rPr>
        <w:t xml:space="preserve">Level Map Entry: </w:t>
      </w:r>
      <w:r>
        <w:t>Child independently taps active glowing node. Stopwatch: Time from app launch to node tap (seconds).</w:t>
      </w:r>
    </w:p>
    <w:p>
      <w:pPr>
        <w:pStyle w:val="ListBullet"/>
        <w:spacing w:after="40"/>
      </w:pPr>
      <w:r>
        <w:rPr>
          <w:b/>
        </w:rPr>
        <w:t xml:space="preserve">[OBS-02] </w:t>
      </w:r>
      <w:r>
        <w:rPr>
          <w:b/>
        </w:rPr>
        <w:t xml:space="preserve">Hear It Audio Engagement: </w:t>
      </w:r>
      <w:r>
        <w:t>Child listens to phoneme sound modeling (/m/ for Mouse) and repeats sound. Rated: High, Neutral, Distracted.</w:t>
      </w:r>
    </w:p>
    <w:p>
      <w:pPr>
        <w:pStyle w:val="ListBullet"/>
        <w:spacing w:after="40"/>
      </w:pPr>
      <w:r>
        <w:rPr>
          <w:b/>
        </w:rPr>
        <w:t xml:space="preserve">[OBS-03] </w:t>
      </w:r>
      <w:r>
        <w:rPr>
          <w:b/>
        </w:rPr>
        <w:t xml:space="preserve">Say It Microphone Vocalization: </w:t>
      </w:r>
      <w:r>
        <w:t>Child presses mic button and produces verbal phoneme response. Stopwatch: Mic tap to ASR result (seconds).</w:t>
      </w:r>
    </w:p>
    <w:p>
      <w:pPr>
        <w:pStyle w:val="ListBullet"/>
        <w:spacing w:after="40"/>
      </w:pPr>
      <w:r>
        <w:rPr>
          <w:b/>
        </w:rPr>
        <w:t xml:space="preserve">[OBS-04] </w:t>
      </w:r>
      <w:r>
        <w:rPr>
          <w:b/>
        </w:rPr>
        <w:t xml:space="preserve">Find It Picture Discrimination: </w:t>
      </w:r>
      <w:r>
        <w:t>Child discriminates target pictures from distractors. Rated: 3/3 on first try, 1-2 mistakes, or needed help.</w:t>
      </w:r>
    </w:p>
    <w:p>
      <w:pPr>
        <w:pStyle w:val="ListBullet"/>
        <w:spacing w:after="40"/>
      </w:pPr>
      <w:r>
        <w:rPr>
          <w:b/>
        </w:rPr>
        <w:t xml:space="preserve">[OBS-05] </w:t>
      </w:r>
      <w:r>
        <w:rPr>
          <w:b/>
        </w:rPr>
        <w:t xml:space="preserve">Blend It CVC Word Assembly: </w:t>
      </w:r>
      <w:r>
        <w:t>Child arranges letter tiles into correct CVC word (SAM). Stopwatch: Display to submission (seconds).</w:t>
      </w:r>
    </w:p>
    <w:p>
      <w:pPr>
        <w:spacing w:after="80"/>
      </w:pPr>
    </w:p>
    <w:p>
      <w:pPr>
        <w:spacing w:before="120" w:after="60"/>
      </w:pPr>
      <w:r>
        <w:rPr>
          <w:rFonts w:ascii="Calibri" w:hAnsi="Calibri"/>
          <w:b/>
          <w:color w:val="1F3A3D"/>
          <w:sz w:val="26"/>
        </w:rPr>
        <w:t>7. Validation Testing Protocol &amp; Field Administration Guidelines</w:t>
      </w:r>
    </w:p>
    <w:p>
      <w:pPr>
        <w:pStyle w:val="ListBullet"/>
        <w:spacing w:after="40"/>
      </w:pPr>
      <w:r>
        <w:rPr>
          <w:b/>
        </w:rPr>
        <w:t xml:space="preserve">Step 1: Test Environment &amp; Device Provisioning: </w:t>
      </w:r>
      <w:r>
        <w:t>5 Android test devices (tablets and smartphones running Android 8.0+) are pre-loaded with playit-debug.apk. The testing space is verified to have ambient noise ≤ 40dB using the app's built-in noise threshold indicator.</w:t>
      </w:r>
    </w:p>
    <w:p>
      <w:pPr>
        <w:pStyle w:val="ListBullet"/>
        <w:spacing w:after="40"/>
      </w:pPr>
      <w:r>
        <w:rPr>
          <w:b/>
        </w:rPr>
        <w:t xml:space="preserve">Step 2: Informed Consent &amp; Demographic Intake: </w:t>
      </w:r>
      <w:r>
        <w:t>Parents and teachers complete the digital consent form (Q1-Q2) and demographic profile (Q3-Q5) before any testing begins. Child verbal assent is confirmed.</w:t>
      </w:r>
    </w:p>
    <w:p>
      <w:pPr>
        <w:pStyle w:val="ListBullet"/>
        <w:spacing w:after="40"/>
      </w:pPr>
      <w:r>
        <w:rPr>
          <w:b/>
        </w:rPr>
        <w:t xml:space="preserve">Step 3: Diagnostic Pre-Test (2 Minutes): </w:t>
      </w:r>
      <w:r>
        <w:t>The observer administers the 10-item baseline assessment (Phoneme Flashcards M, S, A, I, B and Word Cards SAM, BUS) to record pre-intervention reading knowledge.</w:t>
      </w:r>
    </w:p>
    <w:p>
      <w:pPr>
        <w:pStyle w:val="ListBullet"/>
        <w:spacing w:after="40"/>
      </w:pPr>
      <w:r>
        <w:rPr>
          <w:b/>
        </w:rPr>
        <w:t xml:space="preserve">Step 4: Observational Gameplay Session (15 Minutes): </w:t>
      </w:r>
      <w:r>
        <w:t>The child completes Letter Node 1 (Hear It → Say It → Find It) and the Chapter 1 Blend It challenge. The observer records OBS-01 to OBS-05 timings with a stopwatch.</w:t>
      </w:r>
    </w:p>
    <w:p>
      <w:pPr>
        <w:pStyle w:val="ListBullet"/>
        <w:spacing w:after="40"/>
      </w:pPr>
      <w:r>
        <w:rPr>
          <w:b/>
        </w:rPr>
        <w:t xml:space="preserve">Step 5: Diagnostic Post-Test &amp; Affective Feedback: </w:t>
      </w:r>
      <w:r>
        <w:t>Immediately post-play, the observer re-tests the phonics items to compute the learning gain delta, followed by the 3-point Smileometer face rating.</w:t>
      </w:r>
    </w:p>
    <w:p>
      <w:pPr>
        <w:pStyle w:val="ListBullet"/>
        <w:spacing w:after="40"/>
      </w:pPr>
      <w:r>
        <w:rPr>
          <w:b/>
        </w:rPr>
        <w:t xml:space="preserve">Step 6: Caregiver SUS &amp; Teacher Survey: </w:t>
      </w:r>
      <w:r>
        <w:t>Parents and teachers complete the 10-item SUS questionnaire and accessibility checklist via Google Forms synced to the master Google Sheet.</w:t>
      </w:r>
    </w:p>
    <w:p>
      <w:pPr>
        <w:spacing w:after="80"/>
      </w:pPr>
    </w:p>
    <w:p>
      <w:pPr>
        <w:spacing w:before="120" w:after="60"/>
      </w:pPr>
      <w:r>
        <w:rPr>
          <w:rFonts w:ascii="Calibri" w:hAnsi="Calibri"/>
          <w:b/>
          <w:color w:val="1F3A3D"/>
          <w:sz w:val="26"/>
        </w:rPr>
        <w:t>8. Thesis Chapter 4 Statistical Integration &amp; Refactoring Roadmap</w:t>
      </w:r>
    </w:p>
    <w:p>
      <w:pPr>
        <w:spacing w:after="120"/>
      </w:pPr>
      <w:r>
        <w:t>The empirical data gathered from the 30-respondent validation cohort will directly substantiate Thesis Chapter 4 (Results and Discussion) and drive the Week 3 Requirements Refactoring:</w:t>
        <w:br/>
        <w:br/>
        <w:t>• Inferential Phonics Gain Analysis: Pre-test and post-test scores will be evaluated via a Paired Samples t-test (or Wilcoxon signed-rank test if normality is violated) to determine whether PlayIT yields statistically significant reading gains (alpha = 0.05).</w:t>
        <w:br/>
        <w:t>• Caregiver Usability Benchmarking: SUS survey responses will be scored using Brooke's normalized algorithm to generate composite usability ratings, benchmarked against the standard Bangor et al. (2008) curved grading scale (Target: ≥ 75.0 / Grade B+).</w:t>
        <w:br/>
        <w:t>• Software Quality Verification: Offline Vosk latency (SYS-01 ≤ 0.5s), 60 FPS animation stability (SYS-02), and SQLite/Room transactional integrity (SYS-03, 0% data loss) will be verified across test device logs.</w:t>
        <w:br/>
        <w:t>• Week 3 Document Refactoring: Findings will be synthesized into the SRS v3.0 Requirements Traceability Matrix (RTM) (officially incorporating FR-13 Blend It and FR-14 Multi-Profile) and the SDD v2.0 Architecture Specification due on September 19, 2026.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