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2.0" w:type="dxa"/>
        <w:jc w:val="left"/>
        <w:tblInd w:w="-564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22.0000000000002"/>
        <w:gridCol w:w="990"/>
        <w:gridCol w:w="990"/>
        <w:gridCol w:w="990"/>
        <w:gridCol w:w="990"/>
        <w:gridCol w:w="1350"/>
        <w:gridCol w:w="1695"/>
        <w:gridCol w:w="840"/>
        <w:gridCol w:w="1695"/>
        <w:tblGridChange w:id="0">
          <w:tblGrid>
            <w:gridCol w:w="1722.0000000000002"/>
            <w:gridCol w:w="990"/>
            <w:gridCol w:w="990"/>
            <w:gridCol w:w="990"/>
            <w:gridCol w:w="990"/>
            <w:gridCol w:w="1350"/>
            <w:gridCol w:w="1695"/>
            <w:gridCol w:w="840"/>
            <w:gridCol w:w="1695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left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 김이슬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김이슬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tl w:val="0"/>
              </w:rPr>
              <w:t xml:space="preserve">double(8) &gt; int(4) &gt; char(2) &gt; boolean(1)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(int)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(int)chVal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때 출력되는 것으로 옳은 것은?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① 27.134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  helloJava15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(int i = (i &gt;= 65) &amp;&amp; (i &lt;= 90));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(int i = (i &gt;= 97) &amp;&amp; (i &lt;=122));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(int &gt;= 90);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(int &gt;= 80) &amp;&amp; (int &lt; 90);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(int &gt;= 70) &amp;&amp; (int &lt; 80);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언제 system.in 을 쓰고 언제 system.out을 쓰는지요….?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2+3+4+5+6+7+8+9+10+11 = 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B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0" w:right="12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byte &lt; short &lt; int &lt; long &lt; float &lt;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yellow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bNum을 127로 선언했기 때문에?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3번.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if문에서 b를 선언했으니까 c로 선언해야함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WWyM/7TIQICn42moIWBR9En2Lw==">AMUW2mWPnTRUIQXJre4AaHA8xSPx7tuthraW09yH+KsODFrHutTrpwzGFSkweJIPrV5TokXXYeZT6iic+Gw3H1G4J0B9deplXNnrsIbxk1T8Av9T/6A63pufKJAtn0jJCXZ4zDeZD1oo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