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Run AgroSaarthi Locally</w:t>
      </w:r>
    </w:p>
    <w:p>
      <w:pPr>
        <w:pStyle w:val="GuideKicker"/>
      </w:pPr>
      <w:r>
        <w:t>PRODUCTION-READY LOCAL DEVELOPMENT HANDOVER · 19 AUGUST 2026</w:t>
      </w:r>
    </w:p>
    <w:p>
      <w:pPr>
        <w:spacing w:before="160" w:after="200"/>
      </w:pPr>
      <w:r>
        <w:rPr>
          <w:rFonts w:ascii="Aptos" w:hAnsi="Aptos"/>
          <w:color w:val="20352A"/>
          <w:sz w:val="22"/>
        </w:rPr>
        <w:t>This guide explains how to start the AgroSaarthi full-stack application locally while retaining its secure sign-in flow, database-backed farm records, crop-photo assessment, Saarthi crop companion, CEDA market signal, language preferences, and theme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9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/>
                <w:color w:val="7A5417"/>
                <w:sz w:val="19"/>
              </w:rPr>
              <w:t xml:space="preserve">Live reference: </w:t>
            </w:r>
            <w:r>
              <w:rPr>
                <w:rFonts w:ascii="Aptos" w:hAnsi="Aptos"/>
                <w:color w:val="604C28"/>
                <w:sz w:val="19"/>
              </w:rPr>
              <w:t>The currently published app is available at https://agrosaarthi-ckcm6acz.manus.space. The published site and a local checkout use the same application code; local integrations need local environment configuration.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563F"/>
        </w:rPr>
        <w:t>1. What the local app includes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8280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is included</w:t>
            </w:r>
          </w:p>
        </w:tc>
      </w:tr>
      <w:tr>
        <w:tc>
          <w:tcPr>
            <w:tcW w:type="dxa" w:w="2232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Account access</w:t>
            </w:r>
          </w:p>
        </w:tc>
        <w:tc>
          <w:tcPr>
            <w:tcW w:type="dxa" w:w="8280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The sign-in screen, protected workspace, logout action, and account-linked data model remain in the codebase.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Farms and maps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Create, select, edit, and keep separate farm records with crop, acreage, irrigation, and a precise Google Map pin.</w:t>
            </w:r>
          </w:p>
        </w:tc>
      </w:tr>
      <w:tr>
        <w:tc>
          <w:tcPr>
            <w:tcW w:type="dxa" w:w="2232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Crop photo review</w:t>
            </w:r>
          </w:p>
        </w:tc>
        <w:tc>
          <w:tcPr>
            <w:tcW w:type="dxa" w:w="8280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Use camera capture or a saved JPEG, PNG, or WEBP image. A direct photo-quality check works before a farm is created; saved farm reviews store the photo and analysis history.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Saarthi companion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A floating crop companion is available across the protected workspace. It uses crop and selected-farm context when available, and returns cautious fallback guidance if the AI service is unavailable.</w:t>
            </w:r>
          </w:p>
        </w:tc>
      </w:tr>
      <w:tr>
        <w:tc>
          <w:tcPr>
            <w:tcW w:type="dxa" w:w="2232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Market signal</w:t>
            </w:r>
          </w:p>
        </w:tc>
        <w:tc>
          <w:tcPr>
            <w:tcW w:type="dxa" w:w="8280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CEDA Agri Market Data is queried server-side and shown as a latest-available source record with an upstream date, not as an intraday trading quote.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Settings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English, Hindi, and Marathi choices plus light and dark field themes are persisted in browser storage.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563F"/>
        </w:rPr>
        <w:t>2. Prerequisites</w:t>
      </w:r>
    </w:p>
    <w:p>
      <w:pPr>
        <w:spacing w:after="160" w:line="293" w:lineRule="auto"/>
      </w:pPr>
      <w:r>
        <w:rPr>
          <w:rFonts w:ascii="Aptos" w:hAnsi="Aptos"/>
          <w:color w:val="20352A"/>
          <w:sz w:val="20"/>
        </w:rPr>
        <w:t>Use the project’s declared Node.js and pnpm toolchain. The app also needs a reachable MySQL/TiDB-compatible database and the secure service settings listed in the next section to run all protected flows locally.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Node.js 22 and pnpm 10 or a compatible package-manager environment.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A local clone of the AgroSaarthi repository.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A MySQL/TiDB-compatible database for accounts, farms, and diagnosis records.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Valid OAuth, storage, and built-in AI service credentials supplied through a secure local environment rather than committed source files.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Internet access for Google Maps and the CEDA market data source.</w:t>
      </w:r>
    </w:p>
    <w:p>
      <w:pPr>
        <w:pStyle w:val="Heading1"/>
      </w:pPr>
      <w:r>
        <w:rPr>
          <w:rFonts w:ascii="Aptos Display" w:hAnsi="Aptos Display"/>
          <w:color w:val="1F563F"/>
        </w:rPr>
        <w:t>3. Install and start</w:t>
      </w:r>
    </w:p>
    <w:p>
      <w:pPr>
        <w:spacing w:after="160" w:line="293" w:lineRule="auto"/>
      </w:pPr>
      <w:r>
        <w:rPr>
          <w:rFonts w:ascii="Aptos" w:hAnsi="Aptos"/>
          <w:color w:val="20352A"/>
          <w:sz w:val="20"/>
        </w:rPr>
        <w:t>From the repository root, install the locked dependencies and start the full-stack development server. The server serves the React application and the protected tRPC API together.</w:t>
      </w:r>
    </w:p>
    <w:p>
      <w:pPr>
        <w:spacing w:after="160" w:before="60"/>
        <w:ind w:left="317" w:right="317"/>
        <w:shd w:fill="EFF4EC"/>
      </w:pPr>
      <w:r>
        <w:rPr>
          <w:rFonts w:ascii="Consolas" w:hAnsi="Consolas"/>
          <w:color w:val="294A38"/>
          <w:sz w:val="18"/>
        </w:rPr>
        <w:t>pnpm install</w:t>
        <w:br/>
        <w:t>pnpm dev</w:t>
      </w:r>
    </w:p>
    <w:p>
      <w:pPr>
        <w:spacing w:after="160" w:line="293" w:lineRule="auto"/>
      </w:pPr>
      <w:r>
        <w:rPr>
          <w:rFonts w:ascii="Aptos" w:hAnsi="Aptos"/>
          <w:color w:val="20352A"/>
          <w:sz w:val="20"/>
        </w:rPr>
        <w:t>Open the local URL printed by the development server. The application intentionally starts on the sign-in screen when there is no session. This is expected behaviour, not a broken route.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9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/>
                <w:color w:val="7A5417"/>
                <w:sz w:val="19"/>
              </w:rPr>
              <w:t xml:space="preserve">Do not remove sign-in: </w:t>
            </w:r>
            <w:r>
              <w:rPr>
                <w:rFonts w:ascii="Aptos" w:hAnsi="Aptos"/>
                <w:color w:val="604C28"/>
                <w:sz w:val="19"/>
              </w:rPr>
              <w:t>The login segment is part of the normal product flow. It protects farm records, photos, exact coordinates, and associated crop reviews. Keep it enabled in local and deployed builds.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563F"/>
        </w:rPr>
        <w:t>4. Configure protected integrations</w:t>
      </w:r>
    </w:p>
    <w:p>
      <w:pPr>
        <w:spacing w:after="160" w:line="293" w:lineRule="auto"/>
      </w:pPr>
      <w:r>
        <w:rPr>
          <w:rFonts w:ascii="Aptos" w:hAnsi="Aptos"/>
          <w:color w:val="20352A"/>
          <w:sz w:val="20"/>
        </w:rPr>
        <w:t>Create an untracked local environment file using your organisation’s secure secret workflow. Do not commit secret values or reuse a production secret in a public repository.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816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Variables or access required</w:t>
            </w:r>
          </w:p>
        </w:tc>
        <w:tc>
          <w:tcPr>
            <w:tcW w:type="dxa" w:w="475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Local behaviour if absent</w:t>
            </w:r>
          </w:p>
        </w:tc>
      </w:tr>
      <w:tr>
        <w:tc>
          <w:tcPr>
            <w:tcW w:type="dxa" w:w="1944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OAuth sign-in and sessions</w:t>
            </w:r>
          </w:p>
        </w:tc>
        <w:tc>
          <w:tcPr>
            <w:tcW w:type="dxa" w:w="3816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VITE_APP_ID, VITE_OAUTH_PORTAL_URL, OAUTH_SERVER_URL, JWT_SECRET</w:t>
            </w:r>
          </w:p>
        </w:tc>
        <w:tc>
          <w:tcPr>
            <w:tcW w:type="dxa" w:w="4752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The entry screen appears, but a protected session cannot be established.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Persistent data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DATABASE_URL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Farm and diagnosis records cannot be saved or restored.</w:t>
            </w:r>
          </w:p>
        </w:tc>
      </w:tr>
      <w:tr>
        <w:tc>
          <w:tcPr>
            <w:tcW w:type="dxa" w:w="1944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Photo storage, AI review, Saarthi</w:t>
            </w:r>
          </w:p>
        </w:tc>
        <w:tc>
          <w:tcPr>
            <w:tcW w:type="dxa" w:w="3816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BUILT_IN_FORGE_API_URL, BUILT_IN_FORGE_API_KEY</w:t>
            </w:r>
          </w:p>
        </w:tc>
        <w:tc>
          <w:tcPr>
            <w:tcW w:type="dxa" w:w="4752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The UI remains visible and returns an honest connection-aware fallback rather than a fabricated assessment.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Google Maps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Network access to the supplied Maps integration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Map pin selection cannot be completed.</w:t>
            </w:r>
          </w:p>
        </w:tc>
      </w:tr>
      <w:tr>
        <w:tc>
          <w:tcPr>
            <w:tcW w:type="dxa" w:w="1944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CEDA market data</w:t>
            </w:r>
          </w:p>
        </w:tc>
        <w:tc>
          <w:tcPr>
            <w:tcW w:type="dxa" w:w="3816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Outbound access to https://agmarknet.ceda.ashoka.edu.in/</w:t>
            </w:r>
          </w:p>
        </w:tc>
        <w:tc>
          <w:tcPr>
            <w:tcW w:type="dxa" w:w="4752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The market card shows its unavailable-data state and does not invent a price.</w:t>
            </w:r>
          </w:p>
        </w:tc>
      </w:tr>
    </w:tbl>
    <w:p/>
    <w:p>
      <w:pPr>
        <w:spacing w:after="160" w:line="293" w:lineRule="auto"/>
      </w:pPr>
      <w:r>
        <w:rPr>
          <w:rFonts w:ascii="Aptos" w:hAnsi="Aptos"/>
          <w:color w:val="20352A"/>
          <w:sz w:val="20"/>
        </w:rPr>
        <w:t>After creating or updating the database configuration, apply the schema migration before starting normal use.</w:t>
      </w:r>
    </w:p>
    <w:p>
      <w:pPr>
        <w:spacing w:after="160" w:before="60"/>
        <w:ind w:left="317" w:right="317"/>
        <w:shd w:fill="EFF4EC"/>
      </w:pPr>
      <w:r>
        <w:rPr>
          <w:rFonts w:ascii="Consolas" w:hAnsi="Consolas"/>
          <w:color w:val="294A38"/>
          <w:sz w:val="18"/>
        </w:rPr>
        <w:t>pnpm drizzle-kit generate</w:t>
        <w:br/>
        <w:t># Review the generated migration SQL, then apply it with the project database workflow.</w:t>
        <w:br/>
        <w:t>pnpm db:push</w:t>
      </w:r>
    </w:p>
    <w:p>
      <w:pPr>
        <w:pStyle w:val="Heading1"/>
      </w:pPr>
      <w:r>
        <w:rPr>
          <w:rFonts w:ascii="Aptos Display" w:hAnsi="Aptos Display"/>
          <w:color w:val="1F563F"/>
        </w:rPr>
        <w:t>5. Local verification checklist</w:t>
      </w:r>
    </w:p>
    <w:p>
      <w:pPr>
        <w:spacing w:after="160" w:line="293" w:lineRule="auto"/>
      </w:pPr>
      <w:r>
        <w:rPr>
          <w:rFonts w:ascii="Aptos" w:hAnsi="Aptos"/>
          <w:color w:val="20352A"/>
          <w:sz w:val="20"/>
        </w:rPr>
        <w:t>Run the following checks with a valid local OAuth session. Use a real farm record or a clearly labelled disposable test record in a non-production database. Do not place test content in a production farmer account.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8208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304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Authentication</w:t>
            </w:r>
          </w:p>
        </w:tc>
        <w:tc>
          <w:tcPr>
            <w:tcW w:type="dxa" w:w="8208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Sign in returns to the protected home workspace; sign out returns to the entry screen.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Settings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Switch English, Hindi, and Marathi. Reload the page and confirm the selected language remains. Toggle Field Paper and Night Field; reload and confirm theme persistence.</w:t>
            </w:r>
          </w:p>
        </w:tc>
      </w:tr>
      <w:tr>
        <w:tc>
          <w:tcPr>
            <w:tcW w:type="dxa" w:w="2304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Farm records</w:t>
            </w:r>
          </w:p>
        </w:tc>
        <w:tc>
          <w:tcPr>
            <w:tcW w:type="dxa" w:w="8208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Create a farm, choose crop/area/irrigation, set the map pin, save, edit it, and confirm another farm remains unchanged.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Direct crop-photo check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On Diagnose, capture or upload a supported image and select a crop. The in-app check should return visible-sign guidance or a careful unavailable-service fallback before a farm record is required.</w:t>
            </w:r>
          </w:p>
        </w:tc>
      </w:tr>
      <w:tr>
        <w:tc>
          <w:tcPr>
            <w:tcW w:type="dxa" w:w="2304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Saved diagnosis</w:t>
            </w:r>
          </w:p>
        </w:tc>
        <w:tc>
          <w:tcPr>
            <w:tcW w:type="dxa" w:w="8208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With a selected farm, save a photo then run review. The result appears with visible signs, next checks, confidence, and an expert-review caveat.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Saarthi companion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Open the floating Ask Saarthi control from home, farm, diagnosis, market, and settings. Ask a crop question; contextual guidance or a transparent fallback should appear.</w:t>
            </w:r>
          </w:p>
        </w:tc>
      </w:tr>
      <w:tr>
        <w:tc>
          <w:tcPr>
            <w:tcW w:type="dxa" w:w="2304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Market</w:t>
            </w:r>
          </w:p>
        </w:tc>
        <w:tc>
          <w:tcPr>
            <w:tcW w:type="dxa" w:w="8208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Select a mapped crop such as Cotton, Soyabean, Wheat, Maize, Onion, Potato, or Tomato. Verify the source, upstream date, and unavailable state as applicable.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563F"/>
        </w:rPr>
        <w:t>6. Quality gates before deployment</w:t>
      </w:r>
    </w:p>
    <w:p>
      <w:pPr>
        <w:spacing w:after="160" w:line="293" w:lineRule="auto"/>
      </w:pPr>
      <w:r>
        <w:rPr>
          <w:rFonts w:ascii="Aptos" w:hAnsi="Aptos"/>
          <w:color w:val="20352A"/>
          <w:sz w:val="20"/>
        </w:rPr>
        <w:t>Run these commands after code changes. They validate TypeScript contracts, server-side unit tests, and the production bundle.</w:t>
      </w:r>
    </w:p>
    <w:p>
      <w:pPr>
        <w:spacing w:after="160" w:before="60"/>
        <w:ind w:left="317" w:right="317"/>
        <w:shd w:fill="EFF4EC"/>
      </w:pPr>
      <w:r>
        <w:rPr>
          <w:rFonts w:ascii="Consolas" w:hAnsi="Consolas"/>
          <w:color w:val="294A38"/>
          <w:sz w:val="18"/>
        </w:rPr>
        <w:t>pnpm check</w:t>
        <w:br/>
        <w:t>pnpm test</w:t>
        <w:br/>
        <w:t>pnpm build</w:t>
      </w:r>
    </w:p>
    <w:p>
      <w:pPr>
        <w:spacing w:after="160" w:line="293" w:lineRule="auto"/>
      </w:pPr>
      <w:r>
        <w:rPr>
          <w:rFonts w:ascii="Aptos" w:hAnsi="Aptos"/>
          <w:color w:val="20352A"/>
          <w:sz w:val="20"/>
        </w:rPr>
        <w:t>The current project includes unit coverage for logout-cookie behaviour, cautious crop-companion fallback messaging, photo-review fallback messaging, and CEDA market response normalisation. Add further tests whenever a server procedure or a farmer-facing decision workflow changes.</w:t>
      </w:r>
    </w:p>
    <w:p>
      <w:pPr>
        <w:pStyle w:val="Heading1"/>
      </w:pPr>
      <w:r>
        <w:rPr>
          <w:rFonts w:ascii="Aptos Display" w:hAnsi="Aptos Display"/>
          <w:color w:val="1F563F"/>
        </w:rPr>
        <w:t>7. 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7632"/>
            <w:shd w:fill="1F563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Likely cause and response</w:t>
            </w:r>
          </w:p>
        </w:tc>
      </w:tr>
      <w:tr>
        <w:tc>
          <w:tcPr>
            <w:tcW w:type="dxa" w:w="2880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The app stays on sign-in</w:t>
            </w:r>
          </w:p>
        </w:tc>
        <w:tc>
          <w:tcPr>
            <w:tcW w:type="dxa" w:w="7632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Confirm the OAuth variables and callback configuration. The sign-in screen is the expected unauthenticated state.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No price appears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Confirm network access to CEDA and use a crop mapped to the source. Preserve the unavailable state; do not substitute a guessed price.</w:t>
            </w:r>
          </w:p>
        </w:tc>
      </w:tr>
      <w:tr>
        <w:tc>
          <w:tcPr>
            <w:tcW w:type="dxa" w:w="2880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Photo review cannot complete</w:t>
            </w:r>
          </w:p>
        </w:tc>
        <w:tc>
          <w:tcPr>
            <w:tcW w:type="dxa" w:w="7632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Confirm the secure built-in AI/storage settings and retry on a stable connection. The app should show cautious fallback guidance.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Map does not load</w:t>
            </w:r>
          </w:p>
        </w:tc>
        <w:tc>
          <w:tcPr>
            <w:tcW w:type="dxa" w:w="763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Check browser network access and the supplied Maps integration configuration.</w:t>
            </w:r>
          </w:p>
        </w:tc>
      </w:tr>
      <w:tr>
        <w:tc>
          <w:tcPr>
            <w:tcW w:type="dxa" w:w="2880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Changes do not persist</w:t>
            </w:r>
          </w:p>
        </w:tc>
        <w:tc>
          <w:tcPr>
            <w:tcW w:type="dxa" w:w="7632"/>
            <w:shd w:fill="F5F8F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52A"/>
                <w:sz w:val="18"/>
              </w:rPr>
              <w:t>Confirm DATABASE_URL, database migrations, and the authenticated user session.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563F"/>
        </w:rPr>
        <w:t>8. Security and data-handling rules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Keep credentials in secure environment management; never commit them to Git or embed them in client source code.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Treat exact farm coordinates, crop photos, and diagnosis records as private farmer data.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Use CEDA values as sourced market context with freshness labels; never present them as guaranteed sale prices or price forecasts.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Treat image and chat outputs as supportive field guidance, not a pesticide prescription, diagnosis certainty, or substitute for a qualified local agronomist.</w:t>
      </w:r>
    </w:p>
    <w:p>
      <w:pPr>
        <w:pStyle w:val="ListBullet"/>
        <w:spacing w:after="80"/>
      </w:pPr>
      <w:r>
        <w:rPr>
          <w:rFonts w:ascii="Aptos" w:hAnsi="Aptos"/>
          <w:color w:val="20352A"/>
          <w:sz w:val="20"/>
        </w:rPr>
        <w:t>Store image files through the configured secure storage path; retain only references and metadata in the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9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/>
                <w:color w:val="7A5417"/>
                <w:sz w:val="19"/>
              </w:rPr>
              <w:t xml:space="preserve">Handover complete: </w:t>
            </w:r>
            <w:r>
              <w:rPr>
                <w:rFonts w:ascii="Aptos" w:hAnsi="Aptos"/>
                <w:color w:val="604C28"/>
                <w:sz w:val="19"/>
              </w:rPr>
              <w:t>With valid local service configuration, pnpm install and pnpm dev provide the same full product path: sign-in, farms, map pins, camera/file input, crop review, Saarthi, market signal, language, and theme settings.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E6F64"/>
        <w:sz w:val="16"/>
      </w:rPr>
      <w:t>AgroSaarthi · Farm intelligence, gently delivered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F9667"/>
        <w:sz w:val="16"/>
      </w:rPr>
      <w:t>AGROSAARTHI  /  LOCAL DEVELOPMENT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6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6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56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Kicker">
    <w:name w:val="Guide Kicker"/>
    <w:rPr>
      <w:rFonts w:ascii="Aptos" w:hAnsi="Aptos"/>
      <w:b/>
      <w:color w:val="6F966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