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FARMER INTELLIGENCE PLATFORM · PROJECT DOSSIER · AUGUST 2026</w:t>
      </w:r>
    </w:p>
    <w:p>
      <w:pPr>
        <w:pStyle w:val="Title"/>
        <w:spacing w:after="60"/>
      </w:pPr>
      <w:r>
        <w:t>AgroSaarthi</w:t>
      </w:r>
    </w:p>
    <w:p>
      <w:pPr>
        <w:spacing w:after="180"/>
      </w:pPr>
      <w:r>
        <w:rPr>
          <w:rFonts w:ascii="Aptos Display" w:hAnsi="Aptos Display"/>
          <w:color w:val="6F9667"/>
          <w:sz w:val="30"/>
        </w:rPr>
        <w:t>An offline-aware, multilingual farmer workspace for crop observation, market context, and farm-to-market readiness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AgroSaarthi is a farmer-facing product designed around a practical principle: a farmer should be able to keep farm records, field observations, crop photos, market context, and the next accountable action in one private workspace. The experience is intentionally calm, mobile-first, and local-language ready so that useful agricultural context remains accessible without turning the farmer into a data-entry operator.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FF3D6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755117"/>
                <w:sz w:val="18"/>
              </w:rPr>
              <w:t xml:space="preserve">Live project </w:t>
            </w:r>
            <w:r>
              <w:rPr>
                <w:rFonts w:ascii="Aptos" w:hAnsi="Aptos"/>
                <w:color w:val="5C4A29"/>
                <w:sz w:val="18"/>
              </w:rPr>
              <w:t>The deployed application is available at https://agrosaarthi-ckcm6acz.manus.space. The product retains secure sign-in, farmer-owned data, source-labelled market signals, and explicit uncertainty language throughout the decision flows.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223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8280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AgroSaarthi approach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Primary user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A local farmer managing one or more plots, crop observations, mapped locations, and harvest decisions.</w:t>
            </w:r>
          </w:p>
        </w:tc>
      </w:tr>
      <w:tr>
        <w:tc>
          <w:tcPr>
            <w:tcW w:type="dxa" w:w="223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Core value</w:t>
            </w:r>
          </w:p>
        </w:tc>
        <w:tc>
          <w:tcPr>
            <w:tcW w:type="dxa" w:w="828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Turn a farm detail—photo, crop, location, price, harvest window, or question—into a clear next step without hiding uncertainty.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Product experience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A premium Field Notes Atelier interface: warm paper surfaces, Khet Green hierarchy, season markers, contour textures, and responsive farmer-first workflows.</w:t>
            </w:r>
          </w:p>
        </w:tc>
      </w:tr>
      <w:tr>
        <w:tc>
          <w:tcPr>
            <w:tcW w:type="dxa" w:w="223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Delivery model</w:t>
            </w:r>
          </w:p>
        </w:tc>
        <w:tc>
          <w:tcPr>
            <w:tcW w:type="dxa" w:w="828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React 19 client, Express/tRPC server, Manus OAuth, MySQL/TiDB-compatible persistence, secure object storage, Google Maps proxy services, and server-side AI/data adapters.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Decision principle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Observation first; sources and freshness visible; advice framed cautiously; exact farm location private by default.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2. Problem and product response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Smallholder decision-making is often fragmented across memory, chat messages, weather guesses, local mandi conversations, paper notes, and photographs on a phone. The result is not simply a lack of information. It is a lack of connected, farmer-owned context. AgroSaarthi joins those fragments while preserving source labels and avoiding false certainty.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3240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 challenge</w:t>
            </w:r>
          </w:p>
        </w:tc>
        <w:tc>
          <w:tcPr>
            <w:tcW w:type="dxa" w:w="727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Product response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Separate plots get mixed together</w:t>
            </w:r>
          </w:p>
        </w:tc>
        <w:tc>
          <w:tcPr>
            <w:tcW w:type="dxa" w:w="727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Editable multi-farm records preserve crop, area, irrigation method, and an exact private map pin per plot.</w:t>
            </w:r>
          </w:p>
        </w:tc>
      </w:tr>
      <w:tr>
        <w:tc>
          <w:tcPr>
            <w:tcW w:type="dxa" w:w="324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Leaf photos are hard to interpret</w:t>
            </w:r>
          </w:p>
        </w:tc>
        <w:tc>
          <w:tcPr>
            <w:tcW w:type="dxa" w:w="727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Camera and saved-photo flows provide visible-sign triage, possible disease-signal wording, practical organic/IPM, treatment-safety, irrigation, and soil-health next checks, plus expert-review caveats.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Mandi data lacks context</w:t>
            </w:r>
          </w:p>
        </w:tc>
        <w:tc>
          <w:tcPr>
            <w:tcW w:type="dxa" w:w="727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CEDA records are labelled as latest available upstream values with their source date, and short-horizon trends are framed as a non-guaranteed source-data baseline.</w:t>
            </w:r>
          </w:p>
        </w:tc>
      </w:tr>
      <w:tr>
        <w:tc>
          <w:tcPr>
            <w:tcW w:type="dxa" w:w="324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Connectivity is uneven</w:t>
            </w:r>
          </w:p>
        </w:tc>
        <w:tc>
          <w:tcPr>
            <w:tcW w:type="dxa" w:w="727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The voice/advisory surface retains the last saved guidance on-device and clearly distinguishes live, offline, and unavailable states.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Post-harvest links are opaque</w:t>
            </w:r>
          </w:p>
        </w:tc>
        <w:tc>
          <w:tcPr>
            <w:tcW w:type="dxa" w:w="727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Harvest briefs combine crop, expected date, quantity, and notes, then discover nearby map-listed mandi, buyer/wholesale, storage, and transport places without fabricating availability.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3. Farmer experience and primary workflows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The application uses an authenticated farmer workspace rather than a generic dashboard. A persistent farm selector is the anchor. The home view surfaces the next practical action, while mobile navigation keeps Today, Diagnose, Market, Field Intelligence, Farms, and Settings within reach.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2016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Workspace</w:t>
            </w:r>
          </w:p>
        </w:tc>
        <w:tc>
          <w:tcPr>
            <w:tcW w:type="dxa" w:w="8496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Farmer workflow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Today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Review the currently selected farm and enter the crop-photo, market, or farm-record flow.</w:t>
            </w:r>
          </w:p>
        </w:tc>
      </w:tr>
      <w:tr>
        <w:tc>
          <w:tcPr>
            <w:tcW w:type="dxa" w:w="201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Diagnose</w:t>
            </w:r>
          </w:p>
        </w:tc>
        <w:tc>
          <w:tcPr>
            <w:tcW w:type="dxa" w:w="849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Capture a photo in the field or select a saved JPEG/PNG/WEBP image. Perform a direct review before a farm exists or save the photo to the selected farm for a permanent diagnosis record.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Market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Read the latest available CEDA modal/minimum/maximum context and refresh it on demand. Upstream date, source, and unavailable-data state are visible.</w:t>
            </w:r>
          </w:p>
        </w:tc>
      </w:tr>
      <w:tr>
        <w:tc>
          <w:tcPr>
            <w:tcW w:type="dxa" w:w="201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Field Intelligence</w:t>
            </w:r>
          </w:p>
        </w:tc>
        <w:tc>
          <w:tcPr>
            <w:tcW w:type="dxa" w:w="849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Review a transparent seven-day trend baseline, a crop-and-area harvest-window scenario, voice advisory, offline guidance, and a harvest-to-market brief.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My farms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Create, choose, or edit multiple farm records with crop, area, irrigation, map location, and privacy-aware persistence.</w:t>
            </w:r>
          </w:p>
        </w:tc>
      </w:tr>
      <w:tr>
        <w:tc>
          <w:tcPr>
            <w:tcW w:type="dxa" w:w="201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Settings</w:t>
            </w:r>
          </w:p>
        </w:tc>
        <w:tc>
          <w:tcPr>
            <w:tcW w:type="dxa" w:w="849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Change English, Hindi, or Marathi workspace language; change Field Paper/Night Field theme; review account context; sign out securely.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Saarthi</w:t>
            </w:r>
          </w:p>
        </w:tc>
        <w:tc>
          <w:tcPr>
            <w:tcW w:type="dxa" w:w="849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Open the roaming crop companion from every protected screen. Saarthi receives only the selected farm and minimal active-screen context required to answer the current question.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4. Technical architecture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The supplied system architecture is realised as an offline-aware client, a secure gateway-style application server, independently replaceable intelligence services, and a persistent data layer. The production implementation keeps sensitive credentials and AI/data-provider calls server-side.</w:t>
      </w:r>
    </w:p>
    <w:p>
      <w:r>
        <w:drawing>
          <wp:inline xmlns:a="http://schemas.openxmlformats.org/drawingml/2006/main" xmlns:pic="http://schemas.openxmlformats.org/drawingml/2006/picture">
            <wp:extent cx="6217920" cy="5522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saarthi_architecture_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52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E6F64"/>
          <w:sz w:val="17"/>
        </w:rPr>
        <w:t>Figure 1. Shared AgroSaarthi reference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2088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8424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Implemented responsibilities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Client application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Responsive React workspace, localisation/theme persistence, camera/file input, MediaRecorder voice capture, cached advice, and Maps/Places presentation.</w:t>
            </w:r>
          </w:p>
        </w:tc>
      </w:tr>
      <w:tr>
        <w:tc>
          <w:tcPr>
            <w:tcW w:type="dxa" w:w="2088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Secure application API</w:t>
            </w:r>
          </w:p>
        </w:tc>
        <w:tc>
          <w:tcPr>
            <w:tcW w:type="dxa" w:w="8424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tRPC procedures protected by OAuth session context, input validation with Zod, owner-scoped farm/diagnosis/harvest-intent operations, and server-side provider access.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Intelligence services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Gemini-powered Saarthi contextual companion; image visible-sign/disease-signal triage; CEDA trend baseline; speech-to-text; and transparency/fallback policies.</w:t>
            </w:r>
          </w:p>
        </w:tc>
      </w:tr>
      <w:tr>
        <w:tc>
          <w:tcPr>
            <w:tcW w:type="dxa" w:w="2088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Persistent data</w:t>
            </w:r>
          </w:p>
        </w:tc>
        <w:tc>
          <w:tcPr>
            <w:tcW w:type="dxa" w:w="8424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User, farm, diagnosis, and harvest-intent tables; secure object-storage references for photos and voice files; browser-local language/theme/advisory cache.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External services</w:t>
            </w:r>
          </w:p>
        </w:tc>
        <w:tc>
          <w:tcPr>
            <w:tcW w:type="dxa" w:w="842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CEDA Agri Market Data, Google Maps/Places proxy, server-side Gemini, built-in storage, and transcription service.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5. Data model and privacy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1944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816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75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Privacy boundary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User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OAuth-backed identity and role context.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Session cookies and identity are handled by the application server; no password form is stored in product code.</w:t>
            </w:r>
          </w:p>
        </w:tc>
      </w:tr>
      <w:tr>
        <w:tc>
          <w:tcPr>
            <w:tcW w:type="dxa" w:w="1944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Farm</w:t>
            </w:r>
          </w:p>
        </w:tc>
        <w:tc>
          <w:tcPr>
            <w:tcW w:type="dxa" w:w="381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Name, crop, CEDA commodity mapping, area, irrigation, latitude/longitude, location label.</w:t>
            </w:r>
          </w:p>
        </w:tc>
        <w:tc>
          <w:tcPr>
            <w:tcW w:type="dxa" w:w="475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Owner-scoped. Exact coordinates are treated as private and are not shared by default.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Diagnosis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Photo-storage reference, crop, visible-sign review status, confidence, evidence, actions.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Owner-scoped. Image bytes live in secure storage; database records hold references and metadata.</w:t>
            </w:r>
          </w:p>
        </w:tc>
      </w:tr>
      <w:tr>
        <w:tc>
          <w:tcPr>
            <w:tcW w:type="dxa" w:w="1944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Harvest intent</w:t>
            </w:r>
          </w:p>
        </w:tc>
        <w:tc>
          <w:tcPr>
            <w:tcW w:type="dxa" w:w="381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Expected harvest date, quantity, notes, and readiness status.</w:t>
            </w:r>
          </w:p>
        </w:tc>
        <w:tc>
          <w:tcPr>
            <w:tcW w:type="dxa" w:w="475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Owner-scoped. It does not disclose availability or commercial terms to third parties.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Browser preferences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Language, theme, and latest cached advisory.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Stored locally in the browser to preserve continuity during low-connectivity use.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9F3E5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755117"/>
                <w:sz w:val="18"/>
              </w:rPr>
              <w:t xml:space="preserve">Privacy rule </w:t>
            </w:r>
            <w:r>
              <w:rPr>
                <w:rFonts w:ascii="Aptos" w:hAnsi="Aptos"/>
                <w:color w:val="5C4A29"/>
                <w:sz w:val="18"/>
              </w:rPr>
              <w:t>Saarthi receives a minimal context snapshot: active screen, selected farm/crop, and current workflow state such as market source/date, saved diagnosis result, forecast range, harvest-brief count, or visual settings. It does not receive a full-screen capture, hidden account state, or unnecessary exact coordinates.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6. AI disease-signal triage and advisory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AgroSaarthi does not present image output as a confirmed plant pathology diagnosis. The crop-review flow asks the vision service to describe only what the image visibly supports, to use possible-signal language for potential disease indicators, and to return a clearer-photo or expert-review outcome when the evidence is weak. The advisory structure intentionally separates visible evidence from next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2376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Advisory field</w:t>
            </w:r>
          </w:p>
        </w:tc>
        <w:tc>
          <w:tcPr>
            <w:tcW w:type="dxa" w:w="799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Farmer-facing treatment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Possible disease signal</w:t>
            </w:r>
          </w:p>
        </w:tc>
        <w:tc>
          <w:tcPr>
            <w:tcW w:type="dxa" w:w="79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Shown only as a possible signal to confirm locally, never as certainty.</w:t>
            </w:r>
          </w:p>
        </w:tc>
      </w:tr>
      <w:tr>
        <w:tc>
          <w:tcPr>
            <w:tcW w:type="dxa" w:w="237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Organic/IPM</w:t>
            </w:r>
          </w:p>
        </w:tc>
        <w:tc>
          <w:tcPr>
            <w:tcW w:type="dxa" w:w="799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Discuss low-risk field-observation and integrated-pest-management options with a qualified local expert.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Treatment safety</w:t>
            </w:r>
          </w:p>
        </w:tc>
        <w:tc>
          <w:tcPr>
            <w:tcW w:type="dxa" w:w="79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No pesticide brand, active ingredient, dose, or mixture is prescribed by the application.</w:t>
            </w:r>
          </w:p>
        </w:tc>
      </w:tr>
      <w:tr>
        <w:tc>
          <w:tcPr>
            <w:tcW w:type="dxa" w:w="237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Irrigation</w:t>
            </w:r>
          </w:p>
        </w:tc>
        <w:tc>
          <w:tcPr>
            <w:tcW w:type="dxa" w:w="799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The app asks the farmer to observe water, drainage, rainfall, and crop condition before changing irrigation.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Soil health</w:t>
            </w:r>
          </w:p>
        </w:tc>
        <w:tc>
          <w:tcPr>
            <w:tcW w:type="dxa" w:w="79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The app asks the farmer to note recent fertiliser, rain, drainage, and visible field conditions.</w:t>
            </w:r>
          </w:p>
        </w:tc>
      </w:tr>
      <w:tr>
        <w:tc>
          <w:tcPr>
            <w:tcW w:type="dxa" w:w="237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Escalation</w:t>
            </w:r>
          </w:p>
        </w:tc>
        <w:tc>
          <w:tcPr>
            <w:tcW w:type="dxa" w:w="799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Spreading, severe, or unclear symptoms lead to a qualified local agronomist recommendation.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7. Market intelligence and yield-window planning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The market module fetches latest-available CEDA records server-side. The Field Intelligence page derives a seven-day direction baseline from up to 28 recent modal-price observations using a capped linear trend. The app exposes the observation count, direction, range, and confidence descriptor. It does not call this a guaranteed forecast or a sell recommendation.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2304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960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104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Guardrail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Latest mandi signal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Latest available modal/minimum/maximum CEDA source record for the selected commodity.</w:t>
            </w:r>
          </w:p>
        </w:tc>
        <w:tc>
          <w:tcPr>
            <w:tcW w:type="dxa" w:w="41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Upstream date and source are visible; unavailable data remains unavailable rather than replaced with a guessed value.</w:t>
            </w:r>
          </w:p>
        </w:tc>
      </w:tr>
      <w:tr>
        <w:tc>
          <w:tcPr>
            <w:tcW w:type="dxa" w:w="2304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Seven-day price direction</w:t>
            </w:r>
          </w:p>
        </w:tc>
        <w:tc>
          <w:tcPr>
            <w:tcW w:type="dxa" w:w="396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Capped linear trend baseline over recent available source observations.</w:t>
            </w:r>
          </w:p>
        </w:tc>
        <w:tc>
          <w:tcPr>
            <w:tcW w:type="dxa" w:w="4104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Presented as a source-data planning indicator, not a sale recommendation or price guarantee.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Yield window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Crop-and-area scenario using transparent generic ranges for planning.</w:t>
            </w:r>
          </w:p>
        </w:tc>
        <w:tc>
          <w:tcPr>
            <w:tcW w:type="dxa" w:w="41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Explicitly not a scientific yield prediction without on-field crop stage, weather, soil, and input data.</w:t>
            </w:r>
          </w:p>
        </w:tc>
      </w:tr>
      <w:tr>
        <w:tc>
          <w:tcPr>
            <w:tcW w:type="dxa" w:w="2304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Harvest brief</w:t>
            </w:r>
          </w:p>
        </w:tc>
        <w:tc>
          <w:tcPr>
            <w:tcW w:type="dxa" w:w="396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Expected harvest date and quantity linked to a private farm record.</w:t>
            </w:r>
          </w:p>
        </w:tc>
        <w:tc>
          <w:tcPr>
            <w:tcW w:type="dxa" w:w="4104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The farmer validates any buyer, transport, storage, capacity, demand, or commercial term directly.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8. Voice, multilingual, and offline-aware interaction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Voice advisory uses the browser MediaRecorder to capture a short recording. Audio is placed in secure storage, transcribed server-side, and sent to the companion with the same active-screen context as text chat. The farmer can select English, Hindi, Marathi, or an explicit Hinglish mode that guides transcription toward code-mixed Hindi and English. The last saved advisory is retained on-device and shown clearly when the browser reports that it is offline.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223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8136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Visible behaviour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Live</w:t>
            </w:r>
          </w:p>
        </w:tc>
        <w:tc>
          <w:tcPr>
            <w:tcW w:type="dxa" w:w="81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Voice question is recorded, transcribed, and answered by Saarthi. The UI identifies a live response.</w:t>
            </w:r>
          </w:p>
        </w:tc>
      </w:tr>
      <w:tr>
        <w:tc>
          <w:tcPr>
            <w:tcW w:type="dxa" w:w="223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Offline</w:t>
            </w:r>
          </w:p>
        </w:tc>
        <w:tc>
          <w:tcPr>
            <w:tcW w:type="dxa" w:w="813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The control does not pretend to transcribe. It surfaces the most recent saved guidance for the selected farm or general workspace.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Service unavailable</w:t>
            </w:r>
          </w:p>
        </w:tc>
        <w:tc>
          <w:tcPr>
            <w:tcW w:type="dxa" w:w="81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The UI reports the fallback condition and asks the farmer to retry with a stable connection rather than making up a response.</w:t>
            </w:r>
          </w:p>
        </w:tc>
      </w:tr>
      <w:tr>
        <w:tc>
          <w:tcPr>
            <w:tcW w:type="dxa" w:w="223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Language continuity</w:t>
            </w:r>
          </w:p>
        </w:tc>
        <w:tc>
          <w:tcPr>
            <w:tcW w:type="dxa" w:w="813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App language is persisted in browser storage; the voice-language choice is visible at the moment of capture.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9. Live Saarthi companion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The roaming Saarthi companion is powered by a server-side Gemini integration. The supplied API key is stored as a secret and is not exposed to the browser. Saarthi reads structured screen context rather than indiscriminate screen contents. The context includes the active workspace and relevant, minimal state: selected farm/crop, market source/date/status, latest saved diagnosis result, trend/harvest-brief state, or selected language/theme. Its header distinguishes live Gemini output from a connection-aware fallback.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2088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8280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Context Saarthi may receive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Home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Selected farm name, crop, area, irrigation, and the fact that crop photo/market/farm actions are available.</w:t>
            </w:r>
          </w:p>
        </w:tc>
      </w:tr>
      <w:tr>
        <w:tc>
          <w:tcPr>
            <w:tcW w:type="dxa" w:w="2088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Diagnose</w:t>
            </w:r>
          </w:p>
        </w:tc>
        <w:tc>
          <w:tcPr>
            <w:tcW w:type="dxa" w:w="828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Selected crop plus the latest saved diagnosis title/status/confidence, or direct-photo availability when no farm is selected.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Market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Latest CEDA value, unit, upstream date, source, and availability status for the selected crop.</w:t>
            </w:r>
          </w:p>
        </w:tc>
      </w:tr>
      <w:tr>
        <w:tc>
          <w:tcPr>
            <w:tcW w:type="dxa" w:w="2088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Field Intelligence</w:t>
            </w:r>
          </w:p>
        </w:tc>
        <w:tc>
          <w:tcPr>
            <w:tcW w:type="dxa" w:w="828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Trend midpoint/direction/confidence, harvest-brief count, and selected farm context.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Farms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The fact that private farm records can be created or edited; no full map or unneeded location exposure.</w:t>
            </w:r>
          </w:p>
        </w:tc>
      </w:tr>
      <w:tr>
        <w:tc>
          <w:tcPr>
            <w:tcW w:type="dxa" w:w="2088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Settings</w:t>
            </w:r>
          </w:p>
        </w:tc>
        <w:tc>
          <w:tcPr>
            <w:tcW w:type="dxa" w:w="828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Selected display language and visual theme.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10. Farm-to-market linkage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Farm-to-market support starts with a private harvest intent. The farmer captures an expected date, quantity, and handling/buyer note. The app then uses the selected private farm pin to discover nearby map-listed agricultural mandi, buyer/wholesale, storage, and transport places. This is a useful operational bridge, but the product deliberately does not claim that a listed organisation has buyer demand, available capacity, transport availability, or agreed terms.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FF3D6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755117"/>
                <w:sz w:val="18"/>
              </w:rPr>
              <w:t xml:space="preserve">Commercial integrity </w:t>
            </w:r>
            <w:r>
              <w:rPr>
                <w:rFonts w:ascii="Aptos" w:hAnsi="Aptos"/>
                <w:color w:val="5C4A29"/>
                <w:sz w:val="18"/>
              </w:rPr>
              <w:t>Map-listed infrastructure is a discovery lead, not a confirmed match. A production partnership layer can add verified directories, availability feeds, requests for quotation, consent-driven buyer contact, and transport/storage capacity after suitable providers are connected.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11. Security, reliability, and safety</w:t>
      </w:r>
    </w:p>
    <w:p>
      <w:pPr>
        <w:pStyle w:val="ListBullet"/>
        <w:spacing w:after="60"/>
      </w:pPr>
      <w:r>
        <w:rPr>
          <w:rFonts w:ascii="Aptos" w:hAnsi="Aptos"/>
          <w:color w:val="20352A"/>
          <w:sz w:val="19"/>
        </w:rPr>
        <w:t>All farm, diagnosis, and harvest-intent procedures are owner-scoped behind secure OAuth session context.</w:t>
      </w:r>
    </w:p>
    <w:p>
      <w:pPr>
        <w:pStyle w:val="ListBullet"/>
        <w:spacing w:after="60"/>
      </w:pPr>
      <w:r>
        <w:rPr>
          <w:rFonts w:ascii="Aptos" w:hAnsi="Aptos"/>
          <w:color w:val="20352A"/>
          <w:sz w:val="19"/>
        </w:rPr>
        <w:t>Gemini, storage, transcription, and external market calls run server-side. Credentials stay in environment management and are never sent to the frontend.</w:t>
      </w:r>
    </w:p>
    <w:p>
      <w:pPr>
        <w:pStyle w:val="ListBullet"/>
        <w:spacing w:after="60"/>
      </w:pPr>
      <w:r>
        <w:rPr>
          <w:rFonts w:ascii="Aptos" w:hAnsi="Aptos"/>
          <w:color w:val="20352A"/>
          <w:sz w:val="19"/>
        </w:rPr>
        <w:t>Crop image review is visible-sign triage, not a pathology diagnosis or pesticide prescription. The product asks for expert review where evidence is limited or risks may be serious.</w:t>
      </w:r>
    </w:p>
    <w:p>
      <w:pPr>
        <w:pStyle w:val="ListBullet"/>
        <w:spacing w:after="60"/>
      </w:pPr>
      <w:r>
        <w:rPr>
          <w:rFonts w:ascii="Aptos" w:hAnsi="Aptos"/>
          <w:color w:val="20352A"/>
          <w:sz w:val="19"/>
        </w:rPr>
        <w:t>Price and forecast surfaces show their source, data date, uncertainty, and non-guarantee language.</w:t>
      </w:r>
    </w:p>
    <w:p>
      <w:pPr>
        <w:pStyle w:val="ListBullet"/>
        <w:spacing w:after="60"/>
      </w:pPr>
      <w:r>
        <w:rPr>
          <w:rFonts w:ascii="Aptos" w:hAnsi="Aptos"/>
          <w:color w:val="20352A"/>
          <w:sz w:val="19"/>
        </w:rPr>
        <w:t>Offline and provider-failure states are explicit. The product prefers a transparent unavailable or fallback response to fabricated data.</w:t>
      </w:r>
    </w:p>
    <w:p>
      <w:pPr>
        <w:pStyle w:val="ListBullet"/>
        <w:spacing w:after="60"/>
      </w:pPr>
      <w:r>
        <w:rPr>
          <w:rFonts w:ascii="Aptos" w:hAnsi="Aptos"/>
          <w:color w:val="20352A"/>
          <w:sz w:val="19"/>
        </w:rPr>
        <w:t>Object storage holds photo and voice bytes; persistent tables hold references and necessary metadata rather than file blobs.</w:t>
      </w:r>
    </w:p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12. Local development and deployment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The project runs as a full-stack React/tRPC/Express application. Keep authentication enabled in local development; it protects farm records, exact map pins, and crop observations. The repository contains LOCAL_DEVELOPMENT.md and .env.example for setup guidance.</w:t>
      </w:r>
    </w:p>
    <w:p>
      <w:pPr>
        <w:spacing w:after="160"/>
        <w:ind w:left="346" w:right="346"/>
        <w:shd w:fill="EEF4EB"/>
      </w:pPr>
      <w:r>
        <w:rPr>
          <w:rFonts w:ascii="Consolas" w:hAnsi="Consolas"/>
          <w:color w:val="254B37"/>
          <w:sz w:val="17"/>
        </w:rPr>
        <w:t>pnpm install</w:t>
        <w:br/>
        <w:t>pnpm dev</w:t>
        <w:br/>
        <w:br/>
        <w:t># After schema changes</w:t>
        <w:br/>
        <w:t>pnpm drizzle-kit generate</w:t>
        <w:br/>
        <w:t># Review generated SQL, then apply it using the project database workflow.</w:t>
        <w:br/>
        <w:t>pnpm db:push</w:t>
        <w:br/>
        <w:br/>
        <w:t># Quality gates</w:t>
        <w:br/>
        <w:t>pnpm check</w:t>
        <w:br/>
        <w:t>pnpm test</w:t>
        <w:br/>
        <w:t>pnpm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3528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 group</w:t>
            </w:r>
          </w:p>
        </w:tc>
        <w:tc>
          <w:tcPr>
            <w:tcW w:type="dxa" w:w="6840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52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DATABASE_URL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MySQL/TiDB-compatible persistence for accounts, farms, diagnoses, and harvest intents.</w:t>
            </w:r>
          </w:p>
        </w:tc>
      </w:tr>
      <w:tr>
        <w:tc>
          <w:tcPr>
            <w:tcW w:type="dxa" w:w="3528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OAuth variables</w:t>
            </w:r>
          </w:p>
        </w:tc>
        <w:tc>
          <w:tcPr>
            <w:tcW w:type="dxa" w:w="684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Secure sign-in and protected session flow.</w:t>
            </w:r>
          </w:p>
        </w:tc>
      </w:tr>
      <w:tr>
        <w:tc>
          <w:tcPr>
            <w:tcW w:type="dxa" w:w="352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BUILT_IN_FORGE_API_URL / BUILT_IN_FORGE_API_KEY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Server-side storage, transcription, and built-in service infrastructure.</w:t>
            </w:r>
          </w:p>
        </w:tc>
      </w:tr>
      <w:tr>
        <w:tc>
          <w:tcPr>
            <w:tcW w:type="dxa" w:w="3528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GEMINI_API_KEY</w:t>
            </w:r>
          </w:p>
        </w:tc>
        <w:tc>
          <w:tcPr>
            <w:tcW w:type="dxa" w:w="6840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Server-side live Saarthi contextual companion. Never expose this in browser code or source control.</w:t>
            </w:r>
          </w:p>
        </w:tc>
      </w:tr>
      <w:tr>
        <w:tc>
          <w:tcPr>
            <w:tcW w:type="dxa" w:w="352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Frontend Forge/Maps variables</w:t>
            </w:r>
          </w:p>
        </w:tc>
        <w:tc>
          <w:tcPr>
            <w:tcW w:type="dxa" w:w="684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Google Maps/Places proxy service for private farm pins and nearby infrastructure discovery.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13. Quality assurance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2376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Quality gate</w:t>
            </w:r>
          </w:p>
        </w:tc>
        <w:tc>
          <w:tcPr>
            <w:tcW w:type="dxa" w:w="799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evidence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Type safety</w:t>
            </w:r>
          </w:p>
        </w:tc>
        <w:tc>
          <w:tcPr>
            <w:tcW w:type="dxa" w:w="79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TypeScript validation passes for client and server contracts.</w:t>
            </w:r>
          </w:p>
        </w:tc>
      </w:tr>
      <w:tr>
        <w:tc>
          <w:tcPr>
            <w:tcW w:type="dxa" w:w="237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Unit tests</w:t>
            </w:r>
          </w:p>
        </w:tc>
        <w:tc>
          <w:tcPr>
            <w:tcW w:type="dxa" w:w="799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Coverage includes OAuth logout, crop-companion fallback, CEDA normalisation/trend projection, browser audio-data parsing, Gemini credential validation, and a live contextual Gemini response.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Production build</w:t>
            </w:r>
          </w:p>
        </w:tc>
        <w:tc>
          <w:tcPr>
            <w:tcW w:type="dxa" w:w="79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The Vite/esbuild production bundle has been built successfully after the advanced feature additions.</w:t>
            </w:r>
          </w:p>
        </w:tc>
      </w:tr>
      <w:tr>
        <w:tc>
          <w:tcPr>
            <w:tcW w:type="dxa" w:w="237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Responsive review</w:t>
            </w:r>
          </w:p>
        </w:tc>
        <w:tc>
          <w:tcPr>
            <w:tcW w:type="dxa" w:w="799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The farmer entry/home experience and the corrected mobile heading treatment have been reviewed at narrow mobile dimensions. Protected workflows should also be checked with a signed-in farmer account before a field trial.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14. Delivery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223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8136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next step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Field pilot</w:t>
            </w:r>
          </w:p>
        </w:tc>
        <w:tc>
          <w:tcPr>
            <w:tcW w:type="dxa" w:w="81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Conduct signed-in farmer tests for camera/photo review, voice transcription, language switching, trend interpretation, and harvest brief creation on low-bandwidth devices.</w:t>
            </w:r>
          </w:p>
        </w:tc>
      </w:tr>
      <w:tr>
        <w:tc>
          <w:tcPr>
            <w:tcW w:type="dxa" w:w="223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Agronomy hardening</w:t>
            </w:r>
          </w:p>
        </w:tc>
        <w:tc>
          <w:tcPr>
            <w:tcW w:type="dxa" w:w="813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Validate visible-sign prompts and escalation criteria with regional agricultural experts; add crop-specific datasets only after accuracy and governance evaluation.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Market expansion</w:t>
            </w:r>
          </w:p>
        </w:tc>
        <w:tc>
          <w:tcPr>
            <w:tcW w:type="dxa" w:w="81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Connect official state/mandi sources where available and make commodity/region coverage explicit.</w:t>
            </w:r>
          </w:p>
        </w:tc>
      </w:tr>
      <w:tr>
        <w:tc>
          <w:tcPr>
            <w:tcW w:type="dxa" w:w="2232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Verified commerce</w:t>
            </w:r>
          </w:p>
        </w:tc>
        <w:tc>
          <w:tcPr>
            <w:tcW w:type="dxa" w:w="8136"/>
            <w:shd w:fill="F4F7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Add consent-based buyer, transporter, and storage partner directories, capacity updates, quote requests, and audit trails.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Offline resilience</w:t>
            </w:r>
          </w:p>
        </w:tc>
        <w:tc>
          <w:tcPr>
            <w:tcW w:type="dxa" w:w="813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7"/>
              </w:rPr>
              <w:t>Progress from last-advisory cache to a service-worker-backed offline pack for recent farms, crop guidance, and selected market context.</w:t>
            </w:r>
          </w:p>
        </w:tc>
      </w:tr>
    </w:tbl>
    <w:p/>
    <w:p>
      <w:pPr>
        <w:pStyle w:val="Heading1"/>
        <w:spacing w:before="260" w:after="100"/>
      </w:pPr>
      <w:r>
        <w:rPr>
          <w:rFonts w:ascii="Aptos Display" w:hAnsi="Aptos Display"/>
          <w:color w:val="1F563F"/>
        </w:rPr>
        <w:t>References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[1] CEDA Agri Market Data: https://agmarknet.ceda.ashoka.edu.in/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[2] data.gov.in, Current daily mandi commodity price catalogue: https://www.data.gov.in/catalog/current-daily-price-various-commodities-various-markets-mandi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[3] Google Maps Platform documentation: https://developers.google.com/maps/documentation</w:t>
      </w:r>
    </w:p>
    <w:p>
      <w:pPr>
        <w:spacing w:after="140" w:line="286" w:lineRule="auto"/>
      </w:pPr>
      <w:r>
        <w:rPr>
          <w:rFonts w:ascii="Aptos" w:hAnsi="Aptos"/>
          <w:color w:val="20352A"/>
          <w:sz w:val="19"/>
        </w:rPr>
        <w:t>[4] Gemini API documentation: https://ai.google.dev/gemini-api/docs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9F3E5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755117"/>
                <w:sz w:val="18"/>
              </w:rPr>
              <w:t xml:space="preserve">Project note </w:t>
            </w:r>
            <w:r>
              <w:rPr>
                <w:rFonts w:ascii="Aptos" w:hAnsi="Aptos"/>
                <w:color w:val="5C4A29"/>
                <w:sz w:val="18"/>
              </w:rPr>
              <w:t>This dossier describes the application implementation and its intentional limitations. It should be read alongside the local development handover for environment-specific configuration and deployment controls.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936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E6F64"/>
        <w:sz w:val="16"/>
      </w:rPr>
      <w:t>AgroSaarthi · Farm intelligence, gently delivered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F9667"/>
        <w:sz w:val="16"/>
      </w:rPr>
      <w:t>AGROSAARTHI  /  PROJECT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6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6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56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Aptos" w:hAnsi="Aptos"/>
      <w:b/>
      <w:color w:val="6F966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