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F9C" w:rsidRPr="00F008F2" w:rsidRDefault="005F6F9C" w:rsidP="009A20FD">
      <w:pPr>
        <w:spacing w:line="360" w:lineRule="auto"/>
        <w:jc w:val="center"/>
        <w:rPr>
          <w:b/>
          <w:bCs/>
          <w:sz w:val="24"/>
        </w:rPr>
      </w:pPr>
      <w:r w:rsidRPr="00F008F2">
        <w:rPr>
          <w:b/>
          <w:bCs/>
          <w:sz w:val="24"/>
        </w:rPr>
        <w:t>6.</w:t>
      </w:r>
      <w:r w:rsidRPr="00F008F2">
        <w:rPr>
          <w:b/>
          <w:bCs/>
          <w:sz w:val="24"/>
        </w:rPr>
        <w:t>地方经济增长质量和效益</w:t>
      </w:r>
      <w:r>
        <w:rPr>
          <w:rFonts w:hint="eastAsia"/>
          <w:b/>
          <w:bCs/>
          <w:sz w:val="24"/>
        </w:rPr>
        <w:t>监测</w:t>
      </w:r>
      <w:r>
        <w:rPr>
          <w:b/>
          <w:bCs/>
          <w:sz w:val="24"/>
        </w:rPr>
        <w:t>预警</w:t>
      </w:r>
      <w:r w:rsidRPr="00F008F2">
        <w:rPr>
          <w:b/>
          <w:bCs/>
          <w:sz w:val="24"/>
        </w:rPr>
        <w:t>的具体方法</w:t>
      </w:r>
    </w:p>
    <w:p w:rsidR="00882799" w:rsidRDefault="005F6F9C" w:rsidP="001D11D7">
      <w:pPr>
        <w:spacing w:line="360" w:lineRule="auto"/>
        <w:rPr>
          <w:bCs/>
          <w:szCs w:val="21"/>
        </w:rPr>
      </w:pPr>
      <w:r w:rsidRPr="00487F5F">
        <w:rPr>
          <w:bCs/>
          <w:szCs w:val="21"/>
        </w:rPr>
        <w:tab/>
      </w:r>
      <w:r w:rsidR="00A640BB">
        <w:rPr>
          <w:bCs/>
          <w:szCs w:val="21"/>
        </w:rPr>
        <w:t>宏观经济监测预警研究通过对经济发展</w:t>
      </w:r>
      <w:r w:rsidR="00A640BB">
        <w:rPr>
          <w:rFonts w:hint="eastAsia"/>
          <w:bCs/>
          <w:szCs w:val="21"/>
        </w:rPr>
        <w:t>规律</w:t>
      </w:r>
      <w:r w:rsidR="00A640BB">
        <w:rPr>
          <w:bCs/>
          <w:szCs w:val="21"/>
        </w:rPr>
        <w:t>的研究</w:t>
      </w:r>
      <w:r w:rsidR="00A640BB">
        <w:rPr>
          <w:rFonts w:hint="eastAsia"/>
          <w:bCs/>
          <w:szCs w:val="21"/>
        </w:rPr>
        <w:t>，</w:t>
      </w:r>
      <w:r w:rsidR="00A640BB">
        <w:rPr>
          <w:bCs/>
          <w:szCs w:val="21"/>
        </w:rPr>
        <w:t>对经济运行的趋势进行预测</w:t>
      </w:r>
      <w:r w:rsidR="00A640BB">
        <w:rPr>
          <w:rFonts w:hint="eastAsia"/>
          <w:bCs/>
          <w:szCs w:val="21"/>
        </w:rPr>
        <w:t>，</w:t>
      </w:r>
      <w:r w:rsidR="00A640BB">
        <w:rPr>
          <w:bCs/>
          <w:szCs w:val="21"/>
        </w:rPr>
        <w:t>从而为政府宏观调控提供基本信息</w:t>
      </w:r>
      <w:r w:rsidR="00A640BB">
        <w:rPr>
          <w:rFonts w:hint="eastAsia"/>
          <w:bCs/>
          <w:szCs w:val="21"/>
        </w:rPr>
        <w:t>。</w:t>
      </w:r>
      <w:r w:rsidR="00E822EE">
        <w:rPr>
          <w:rFonts w:hint="eastAsia"/>
          <w:bCs/>
          <w:szCs w:val="21"/>
        </w:rPr>
        <w:t>在我国现阶段新常态背景下，经济发展的目标已从增速题量转变为提高地方经济增长的质量和效益，因此当前宏观经济监测预警的核心应扩展为对地方经济增长质量和效益的监测预警</w:t>
      </w:r>
      <w:r w:rsidR="008D258D">
        <w:rPr>
          <w:rFonts w:hint="eastAsia"/>
          <w:bCs/>
          <w:szCs w:val="21"/>
        </w:rPr>
        <w:t>。本章介绍并比较各种宏观经济监测预警方法，为地方经济增长质量和效益监测预警找到对应方法，并应用此方法对地方经济增长质量和效益监测预警构建指标体系。</w:t>
      </w:r>
    </w:p>
    <w:p w:rsidR="005F6F9C" w:rsidRDefault="005F6F9C" w:rsidP="005F6F9C">
      <w:pPr>
        <w:spacing w:line="360" w:lineRule="auto"/>
        <w:rPr>
          <w:bCs/>
          <w:sz w:val="24"/>
        </w:rPr>
      </w:pPr>
      <w:r w:rsidRPr="00F008F2">
        <w:rPr>
          <w:bCs/>
          <w:sz w:val="24"/>
        </w:rPr>
        <w:t>6.1</w:t>
      </w:r>
      <w:r w:rsidRPr="00F008F2">
        <w:rPr>
          <w:bCs/>
          <w:sz w:val="24"/>
        </w:rPr>
        <w:t>宏观经济监测预警方法的综合比较</w:t>
      </w:r>
    </w:p>
    <w:p w:rsidR="002B15BA" w:rsidRDefault="008D258D" w:rsidP="00001D47">
      <w:pPr>
        <w:spacing w:line="360" w:lineRule="auto"/>
        <w:rPr>
          <w:bCs/>
          <w:szCs w:val="21"/>
        </w:rPr>
      </w:pPr>
      <w:r>
        <w:rPr>
          <w:bCs/>
          <w:szCs w:val="21"/>
        </w:rPr>
        <w:tab/>
      </w:r>
      <w:r w:rsidR="008C20D9">
        <w:rPr>
          <w:bCs/>
          <w:szCs w:val="21"/>
        </w:rPr>
        <w:t>宏观经济监测预警的研究开始于</w:t>
      </w:r>
      <w:r w:rsidR="008C20D9">
        <w:rPr>
          <w:rFonts w:hint="eastAsia"/>
          <w:bCs/>
          <w:szCs w:val="21"/>
        </w:rPr>
        <w:t>19</w:t>
      </w:r>
      <w:r w:rsidR="008C20D9">
        <w:rPr>
          <w:rFonts w:hint="eastAsia"/>
          <w:bCs/>
          <w:szCs w:val="21"/>
        </w:rPr>
        <w:t>世纪末期，在一百多年的发展中，宏观经济监测预警在方法方面有非常大的发展。现阶段</w:t>
      </w:r>
      <w:r w:rsidR="008418F0">
        <w:rPr>
          <w:rFonts w:hint="eastAsia"/>
          <w:bCs/>
          <w:szCs w:val="21"/>
        </w:rPr>
        <w:t>，</w:t>
      </w:r>
      <w:r w:rsidR="008418F0">
        <w:rPr>
          <w:bCs/>
          <w:szCs w:val="21"/>
        </w:rPr>
        <w:t>宏观经济监测预警的方法基本分为两类</w:t>
      </w:r>
      <w:r w:rsidR="002B15BA">
        <w:rPr>
          <w:rFonts w:hint="eastAsia"/>
          <w:bCs/>
          <w:szCs w:val="21"/>
        </w:rPr>
        <w:t>，一类为</w:t>
      </w:r>
      <w:r w:rsidR="008C20D9">
        <w:rPr>
          <w:rFonts w:hint="eastAsia"/>
          <w:bCs/>
          <w:szCs w:val="21"/>
        </w:rPr>
        <w:t>以经济周期为</w:t>
      </w:r>
      <w:r w:rsidR="005407AE">
        <w:rPr>
          <w:rFonts w:hint="eastAsia"/>
          <w:bCs/>
          <w:szCs w:val="21"/>
        </w:rPr>
        <w:t>前提的线性方法，一类是</w:t>
      </w:r>
      <w:r w:rsidR="002B15BA">
        <w:rPr>
          <w:rFonts w:hint="eastAsia"/>
          <w:bCs/>
          <w:szCs w:val="21"/>
        </w:rPr>
        <w:t>非线性方法。</w:t>
      </w:r>
    </w:p>
    <w:p w:rsidR="002B15BA" w:rsidRDefault="002B15BA" w:rsidP="00001D47">
      <w:pPr>
        <w:spacing w:line="360" w:lineRule="auto"/>
        <w:rPr>
          <w:bCs/>
          <w:szCs w:val="21"/>
        </w:rPr>
      </w:pPr>
      <w:r>
        <w:rPr>
          <w:rFonts w:hint="eastAsia"/>
          <w:bCs/>
          <w:szCs w:val="21"/>
        </w:rPr>
        <w:t>6.1.</w:t>
      </w:r>
      <w:r>
        <w:rPr>
          <w:bCs/>
          <w:szCs w:val="21"/>
        </w:rPr>
        <w:t>1</w:t>
      </w:r>
      <w:r>
        <w:rPr>
          <w:rFonts w:hint="eastAsia"/>
          <w:bCs/>
          <w:szCs w:val="21"/>
        </w:rPr>
        <w:t>线性预警方法</w:t>
      </w:r>
    </w:p>
    <w:p w:rsidR="006248E2" w:rsidRDefault="00656D2D" w:rsidP="002B15BA">
      <w:pPr>
        <w:spacing w:line="360" w:lineRule="auto"/>
        <w:ind w:firstLine="420"/>
        <w:rPr>
          <w:bCs/>
          <w:szCs w:val="21"/>
        </w:rPr>
      </w:pPr>
      <w:r>
        <w:rPr>
          <w:bCs/>
          <w:szCs w:val="21"/>
        </w:rPr>
        <w:t>线性方法</w:t>
      </w:r>
      <w:r w:rsidR="002B15BA">
        <w:rPr>
          <w:bCs/>
          <w:szCs w:val="21"/>
        </w:rPr>
        <w:t>中</w:t>
      </w:r>
      <w:r w:rsidR="00AD224F">
        <w:rPr>
          <w:rFonts w:hint="eastAsia"/>
          <w:bCs/>
          <w:szCs w:val="21"/>
        </w:rPr>
        <w:t>应用</w:t>
      </w:r>
      <w:r w:rsidR="00AD224F">
        <w:rPr>
          <w:bCs/>
          <w:szCs w:val="21"/>
        </w:rPr>
        <w:t>较广的为</w:t>
      </w:r>
      <w:r>
        <w:rPr>
          <w:bCs/>
          <w:szCs w:val="21"/>
        </w:rPr>
        <w:t>景气指数方法</w:t>
      </w:r>
      <w:r w:rsidR="00AD224F">
        <w:rPr>
          <w:bCs/>
          <w:szCs w:val="21"/>
        </w:rPr>
        <w:t>与</w:t>
      </w:r>
      <w:r>
        <w:rPr>
          <w:bCs/>
          <w:szCs w:val="21"/>
        </w:rPr>
        <w:t>景气信号灯方法</w:t>
      </w:r>
      <w:r w:rsidR="00551D11">
        <w:rPr>
          <w:rFonts w:hint="eastAsia"/>
          <w:bCs/>
          <w:szCs w:val="21"/>
        </w:rPr>
        <w:t>，景气指数法与景气信号灯方法在功能上基本一致，都是反映历史与当前的经济状况</w:t>
      </w:r>
      <w:r w:rsidR="00F65A9C">
        <w:rPr>
          <w:rFonts w:hint="eastAsia"/>
          <w:bCs/>
          <w:szCs w:val="21"/>
        </w:rPr>
        <w:t>。</w:t>
      </w:r>
      <w:r w:rsidR="00BF2C3B">
        <w:rPr>
          <w:rFonts w:hint="eastAsia"/>
          <w:bCs/>
          <w:szCs w:val="21"/>
        </w:rPr>
        <w:t>这些方法是以经济周期波动理论为基础</w:t>
      </w:r>
      <w:r w:rsidR="00F86788">
        <w:rPr>
          <w:rFonts w:hint="eastAsia"/>
          <w:bCs/>
          <w:szCs w:val="21"/>
        </w:rPr>
        <w:t>，通过分析经济周期波动的特征和规律，预测经济运行的基本趋势和拐点，从而为政府宏观调控提供信息指导，提高政府政策制定和执行的科学性和有效性。</w:t>
      </w:r>
    </w:p>
    <w:p w:rsidR="00CD7F80" w:rsidRDefault="00001D47" w:rsidP="006248E2">
      <w:pPr>
        <w:spacing w:line="360" w:lineRule="auto"/>
        <w:ind w:firstLine="420"/>
        <w:rPr>
          <w:bCs/>
          <w:szCs w:val="21"/>
        </w:rPr>
      </w:pPr>
      <w:r>
        <w:rPr>
          <w:rFonts w:hint="eastAsia"/>
          <w:bCs/>
          <w:szCs w:val="21"/>
        </w:rPr>
        <w:t>景气指数方法综合考虑宏观经济中各领域的景气变动及相互影响，根据经济指标的不同变动周期对指标进行划分</w:t>
      </w:r>
      <w:r w:rsidR="00854EAC">
        <w:rPr>
          <w:rFonts w:hint="eastAsia"/>
          <w:bCs/>
          <w:szCs w:val="21"/>
        </w:rPr>
        <w:t>：</w:t>
      </w:r>
      <w:r w:rsidR="00BC4EB3">
        <w:rPr>
          <w:rFonts w:hint="eastAsia"/>
          <w:bCs/>
          <w:szCs w:val="21"/>
        </w:rPr>
        <w:t>将</w:t>
      </w:r>
      <w:r w:rsidR="0028166C">
        <w:rPr>
          <w:rFonts w:hint="eastAsia"/>
          <w:bCs/>
          <w:szCs w:val="21"/>
        </w:rPr>
        <w:t>领先于经济景气变化</w:t>
      </w:r>
      <w:r w:rsidR="00BC4EB3">
        <w:rPr>
          <w:rFonts w:hint="eastAsia"/>
          <w:bCs/>
          <w:szCs w:val="21"/>
        </w:rPr>
        <w:t>的</w:t>
      </w:r>
      <w:r w:rsidR="0028166C">
        <w:rPr>
          <w:rFonts w:hint="eastAsia"/>
          <w:bCs/>
          <w:szCs w:val="21"/>
        </w:rPr>
        <w:t>指标合成为先行指数</w:t>
      </w:r>
      <w:r w:rsidR="00BC4EB3">
        <w:rPr>
          <w:rFonts w:hint="eastAsia"/>
          <w:bCs/>
          <w:szCs w:val="21"/>
        </w:rPr>
        <w:t>，用来预测经济景气的未来趋势</w:t>
      </w:r>
      <w:r w:rsidR="006248E2">
        <w:rPr>
          <w:rFonts w:hint="eastAsia"/>
          <w:bCs/>
          <w:szCs w:val="21"/>
        </w:rPr>
        <w:t>；与经济景气同步变动的指标合成</w:t>
      </w:r>
      <w:proofErr w:type="gramStart"/>
      <w:r w:rsidR="006248E2">
        <w:rPr>
          <w:rFonts w:hint="eastAsia"/>
          <w:bCs/>
          <w:szCs w:val="21"/>
        </w:rPr>
        <w:t>为一致</w:t>
      </w:r>
      <w:proofErr w:type="gramEnd"/>
      <w:r w:rsidR="006248E2">
        <w:rPr>
          <w:rFonts w:hint="eastAsia"/>
          <w:bCs/>
          <w:szCs w:val="21"/>
        </w:rPr>
        <w:t>指数，用来表现宏观经济周期变动状态；滞后于经济景气的指标合成为滞后指数，确认经济周期的完备性。</w:t>
      </w:r>
      <w:r w:rsidR="00C35E87">
        <w:rPr>
          <w:rFonts w:hint="eastAsia"/>
          <w:bCs/>
          <w:szCs w:val="21"/>
        </w:rPr>
        <w:t>景气信号灯</w:t>
      </w:r>
      <w:r w:rsidR="00854EAC">
        <w:rPr>
          <w:rFonts w:hint="eastAsia"/>
          <w:bCs/>
          <w:szCs w:val="21"/>
        </w:rPr>
        <w:t>方法</w:t>
      </w:r>
      <w:r w:rsidR="00D127BE">
        <w:rPr>
          <w:rFonts w:hint="eastAsia"/>
          <w:bCs/>
          <w:szCs w:val="21"/>
        </w:rPr>
        <w:t>通过判断宏观经济指标所处的冷热状态，并合成综合警情指数给出当前宏观经济总体的冷热判断；用不同的信号灯颜色（深蓝、浅蓝、绿、黄、红）分别代表经济的不同状况（过冷、趋冷、正常、趋热、过热）。</w:t>
      </w:r>
    </w:p>
    <w:p w:rsidR="002B15BA" w:rsidRDefault="00D127BE" w:rsidP="006248E2">
      <w:pPr>
        <w:spacing w:line="360" w:lineRule="auto"/>
        <w:ind w:firstLine="420"/>
        <w:rPr>
          <w:bCs/>
          <w:szCs w:val="21"/>
        </w:rPr>
      </w:pPr>
      <w:r>
        <w:rPr>
          <w:rFonts w:hint="eastAsia"/>
          <w:bCs/>
          <w:szCs w:val="21"/>
        </w:rPr>
        <w:t>综上所述，两种方法的关注点有所不同，景气指数法关注周期波动的</w:t>
      </w:r>
      <w:r w:rsidR="00AB5109">
        <w:rPr>
          <w:rFonts w:hint="eastAsia"/>
          <w:bCs/>
          <w:szCs w:val="21"/>
        </w:rPr>
        <w:t>走势以及</w:t>
      </w:r>
      <w:r>
        <w:rPr>
          <w:rFonts w:hint="eastAsia"/>
          <w:bCs/>
          <w:szCs w:val="21"/>
        </w:rPr>
        <w:t>转折点，而</w:t>
      </w:r>
      <w:r w:rsidR="00AB5109">
        <w:rPr>
          <w:rFonts w:hint="eastAsia"/>
          <w:bCs/>
          <w:szCs w:val="21"/>
        </w:rPr>
        <w:t>景气信号灯则</w:t>
      </w:r>
      <w:r w:rsidR="00AD224F">
        <w:rPr>
          <w:rFonts w:hint="eastAsia"/>
          <w:bCs/>
          <w:szCs w:val="21"/>
        </w:rPr>
        <w:t>关注的是经济的冷热状况，对经济总体态势的刻画分析所处的具体位置。</w:t>
      </w:r>
      <w:r w:rsidR="00E40B88">
        <w:rPr>
          <w:rFonts w:hint="eastAsia"/>
          <w:bCs/>
          <w:szCs w:val="21"/>
        </w:rPr>
        <w:t>这两种方法的不足就在于以经济周期波动为理论基础，认为经济波动呈现周期性规律，</w:t>
      </w:r>
      <w:r w:rsidR="008C20D9">
        <w:rPr>
          <w:rFonts w:hint="eastAsia"/>
          <w:bCs/>
          <w:szCs w:val="21"/>
        </w:rPr>
        <w:t>以经济发展存在周期波动为前提。</w:t>
      </w:r>
    </w:p>
    <w:p w:rsidR="002B15BA" w:rsidRDefault="002B15BA" w:rsidP="002B15BA">
      <w:pPr>
        <w:spacing w:line="360" w:lineRule="auto"/>
        <w:rPr>
          <w:bCs/>
          <w:szCs w:val="21"/>
        </w:rPr>
      </w:pPr>
      <w:r>
        <w:rPr>
          <w:rFonts w:hint="eastAsia"/>
          <w:bCs/>
          <w:szCs w:val="21"/>
        </w:rPr>
        <w:t>6</w:t>
      </w:r>
      <w:r>
        <w:rPr>
          <w:bCs/>
          <w:szCs w:val="21"/>
        </w:rPr>
        <w:t>.1.2</w:t>
      </w:r>
      <w:r>
        <w:rPr>
          <w:bCs/>
          <w:szCs w:val="21"/>
        </w:rPr>
        <w:t>非线性预警方法</w:t>
      </w:r>
    </w:p>
    <w:p w:rsidR="002B15BA" w:rsidRDefault="00CD7F80" w:rsidP="006248E2">
      <w:pPr>
        <w:spacing w:line="360" w:lineRule="auto"/>
        <w:ind w:firstLine="420"/>
        <w:rPr>
          <w:bCs/>
          <w:szCs w:val="21"/>
        </w:rPr>
      </w:pPr>
      <w:r>
        <w:rPr>
          <w:rFonts w:hint="eastAsia"/>
          <w:bCs/>
          <w:szCs w:val="21"/>
        </w:rPr>
        <w:t>非线性</w:t>
      </w:r>
      <w:r>
        <w:rPr>
          <w:bCs/>
          <w:szCs w:val="21"/>
        </w:rPr>
        <w:t>预警方法的前提假设即数据间呈非线性变动过程</w:t>
      </w:r>
      <w:r>
        <w:rPr>
          <w:rFonts w:hint="eastAsia"/>
          <w:bCs/>
          <w:szCs w:val="21"/>
        </w:rPr>
        <w:t>，</w:t>
      </w:r>
      <w:r w:rsidR="00235BC7">
        <w:rPr>
          <w:rFonts w:hint="eastAsia"/>
          <w:bCs/>
          <w:szCs w:val="21"/>
        </w:rPr>
        <w:t>运用计算机模拟拟合样本数据进行预警</w:t>
      </w:r>
      <w:r w:rsidR="00CC75EF">
        <w:rPr>
          <w:rFonts w:hint="eastAsia"/>
          <w:bCs/>
          <w:szCs w:val="21"/>
        </w:rPr>
        <w:t>，</w:t>
      </w:r>
      <w:r w:rsidR="00235BC7">
        <w:rPr>
          <w:rFonts w:hint="eastAsia"/>
          <w:bCs/>
          <w:szCs w:val="21"/>
        </w:rPr>
        <w:t>方法</w:t>
      </w:r>
      <w:r w:rsidR="00D259AA">
        <w:rPr>
          <w:rFonts w:hint="eastAsia"/>
          <w:bCs/>
          <w:szCs w:val="21"/>
        </w:rPr>
        <w:t>主要</w:t>
      </w:r>
      <w:r w:rsidR="00235BC7">
        <w:rPr>
          <w:rFonts w:hint="eastAsia"/>
          <w:bCs/>
          <w:szCs w:val="21"/>
        </w:rPr>
        <w:t>包括</w:t>
      </w:r>
      <w:r w:rsidR="00D259AA">
        <w:rPr>
          <w:rFonts w:hint="eastAsia"/>
          <w:bCs/>
          <w:szCs w:val="21"/>
        </w:rPr>
        <w:t>BP</w:t>
      </w:r>
      <w:r w:rsidR="00D259AA">
        <w:rPr>
          <w:rFonts w:hint="eastAsia"/>
          <w:bCs/>
          <w:szCs w:val="21"/>
        </w:rPr>
        <w:t>神经网络与支持向量机（</w:t>
      </w:r>
      <w:r w:rsidR="00D259AA">
        <w:rPr>
          <w:rFonts w:hint="eastAsia"/>
          <w:bCs/>
          <w:szCs w:val="21"/>
        </w:rPr>
        <w:t>SVM</w:t>
      </w:r>
      <w:r w:rsidR="00D259AA">
        <w:rPr>
          <w:rFonts w:hint="eastAsia"/>
          <w:bCs/>
          <w:szCs w:val="21"/>
        </w:rPr>
        <w:t>）方法。</w:t>
      </w:r>
    </w:p>
    <w:p w:rsidR="00AD224F" w:rsidRDefault="00D259AA" w:rsidP="006248E2">
      <w:pPr>
        <w:spacing w:line="360" w:lineRule="auto"/>
        <w:ind w:firstLine="420"/>
        <w:rPr>
          <w:bCs/>
          <w:szCs w:val="21"/>
        </w:rPr>
      </w:pPr>
      <w:r>
        <w:rPr>
          <w:rFonts w:hint="eastAsia"/>
          <w:bCs/>
          <w:szCs w:val="21"/>
        </w:rPr>
        <w:lastRenderedPageBreak/>
        <w:t>神经网络是对人脑的抽象、模拟、简化的信息处理模型，</w:t>
      </w:r>
      <w:r w:rsidR="00FF2482">
        <w:rPr>
          <w:rFonts w:hint="eastAsia"/>
          <w:bCs/>
          <w:szCs w:val="21"/>
        </w:rPr>
        <w:t>该方法克服了传统人工智能方法对于直觉等非结构化信息处理方面的缺陷，以强大的推理和仿真能力广泛应用于政治、经济等领域。自从</w:t>
      </w:r>
      <w:proofErr w:type="spellStart"/>
      <w:r w:rsidR="00CE648E">
        <w:rPr>
          <w:rFonts w:hint="eastAsia"/>
          <w:bCs/>
          <w:szCs w:val="21"/>
        </w:rPr>
        <w:t>B</w:t>
      </w:r>
      <w:r w:rsidR="00FF2482">
        <w:rPr>
          <w:rFonts w:hint="eastAsia"/>
          <w:bCs/>
          <w:szCs w:val="21"/>
        </w:rPr>
        <w:t>ume</w:t>
      </w:r>
      <w:r w:rsidR="00CE648E">
        <w:rPr>
          <w:rFonts w:hint="eastAsia"/>
          <w:bCs/>
          <w:szCs w:val="21"/>
        </w:rPr>
        <w:t>l</w:t>
      </w:r>
      <w:r w:rsidR="00FF2482">
        <w:rPr>
          <w:rFonts w:hint="eastAsia"/>
          <w:bCs/>
          <w:szCs w:val="21"/>
        </w:rPr>
        <w:t>hart</w:t>
      </w:r>
      <w:proofErr w:type="spellEnd"/>
      <w:r w:rsidR="00CE648E">
        <w:rPr>
          <w:bCs/>
          <w:szCs w:val="21"/>
        </w:rPr>
        <w:t>和</w:t>
      </w:r>
      <w:proofErr w:type="spellStart"/>
      <w:r w:rsidR="00CE648E">
        <w:rPr>
          <w:rFonts w:hint="eastAsia"/>
          <w:bCs/>
          <w:szCs w:val="21"/>
        </w:rPr>
        <w:t>Mcc</w:t>
      </w:r>
      <w:r w:rsidR="00CE648E">
        <w:rPr>
          <w:bCs/>
          <w:szCs w:val="21"/>
        </w:rPr>
        <w:t>lelland</w:t>
      </w:r>
      <w:proofErr w:type="spellEnd"/>
      <w:r w:rsidR="00FF2482">
        <w:rPr>
          <w:rFonts w:hint="eastAsia"/>
          <w:bCs/>
          <w:szCs w:val="21"/>
        </w:rPr>
        <w:t>（</w:t>
      </w:r>
      <w:r w:rsidR="00FF2482">
        <w:rPr>
          <w:rFonts w:hint="eastAsia"/>
          <w:bCs/>
          <w:szCs w:val="21"/>
        </w:rPr>
        <w:t>1986</w:t>
      </w:r>
      <w:r w:rsidR="00FF2482">
        <w:rPr>
          <w:rFonts w:hint="eastAsia"/>
          <w:bCs/>
          <w:szCs w:val="21"/>
        </w:rPr>
        <w:t>）</w:t>
      </w:r>
      <w:r w:rsidR="00CE648E">
        <w:rPr>
          <w:rStyle w:val="a9"/>
          <w:bCs/>
          <w:szCs w:val="21"/>
        </w:rPr>
        <w:footnoteReference w:id="1"/>
      </w:r>
      <w:r w:rsidR="00FF2482">
        <w:rPr>
          <w:rFonts w:hint="eastAsia"/>
          <w:bCs/>
          <w:szCs w:val="21"/>
        </w:rPr>
        <w:t>等首次提出多层前馈网络的反向传播算法，简称</w:t>
      </w:r>
      <w:r w:rsidR="00FF2482">
        <w:rPr>
          <w:rFonts w:hint="eastAsia"/>
          <w:bCs/>
          <w:szCs w:val="21"/>
        </w:rPr>
        <w:t>BP</w:t>
      </w:r>
      <w:r w:rsidR="00FF2482">
        <w:rPr>
          <w:rFonts w:hint="eastAsia"/>
          <w:bCs/>
          <w:szCs w:val="21"/>
        </w:rPr>
        <w:t>网络或</w:t>
      </w:r>
      <w:r w:rsidR="00FF2482">
        <w:rPr>
          <w:rFonts w:hint="eastAsia"/>
          <w:bCs/>
          <w:szCs w:val="21"/>
        </w:rPr>
        <w:t>BP</w:t>
      </w:r>
      <w:r w:rsidR="00FF2482">
        <w:rPr>
          <w:rFonts w:hint="eastAsia"/>
          <w:bCs/>
          <w:szCs w:val="21"/>
        </w:rPr>
        <w:t>算法之后，</w:t>
      </w:r>
      <w:r w:rsidR="009C7A42">
        <w:rPr>
          <w:rFonts w:hint="eastAsia"/>
          <w:bCs/>
          <w:szCs w:val="21"/>
        </w:rPr>
        <w:t>B</w:t>
      </w:r>
      <w:r w:rsidR="009C7A42">
        <w:rPr>
          <w:bCs/>
          <w:szCs w:val="21"/>
        </w:rPr>
        <w:t>P</w:t>
      </w:r>
      <w:r w:rsidR="009C7A42">
        <w:rPr>
          <w:bCs/>
          <w:szCs w:val="21"/>
        </w:rPr>
        <w:t>神经网络</w:t>
      </w:r>
      <w:r w:rsidR="00FF2482">
        <w:rPr>
          <w:bCs/>
          <w:szCs w:val="21"/>
        </w:rPr>
        <w:t>迅速占据了人工神经网络研究的主体地位</w:t>
      </w:r>
      <w:r w:rsidR="00FF2482">
        <w:rPr>
          <w:rFonts w:hint="eastAsia"/>
          <w:bCs/>
          <w:szCs w:val="21"/>
        </w:rPr>
        <w:t>。</w:t>
      </w:r>
      <w:r>
        <w:rPr>
          <w:rFonts w:hint="eastAsia"/>
          <w:bCs/>
          <w:szCs w:val="21"/>
        </w:rPr>
        <w:t>其原理是利用网络的学习和记忆功能，</w:t>
      </w:r>
      <w:r w:rsidR="009C7A42">
        <w:rPr>
          <w:rFonts w:hint="eastAsia"/>
          <w:bCs/>
          <w:szCs w:val="21"/>
        </w:rPr>
        <w:t>通过预先提供的输入与输出数据分析两者之间的潜在规律，</w:t>
      </w:r>
      <w:r>
        <w:rPr>
          <w:rFonts w:hint="eastAsia"/>
          <w:bCs/>
          <w:szCs w:val="21"/>
        </w:rPr>
        <w:t>让神经网络学习</w:t>
      </w:r>
      <w:r w:rsidR="009C7A42">
        <w:rPr>
          <w:rFonts w:hint="eastAsia"/>
          <w:bCs/>
          <w:szCs w:val="21"/>
        </w:rPr>
        <w:t>并记忆</w:t>
      </w:r>
      <w:r>
        <w:rPr>
          <w:rFonts w:hint="eastAsia"/>
          <w:bCs/>
          <w:szCs w:val="21"/>
        </w:rPr>
        <w:t>历史样本特征，</w:t>
      </w:r>
      <w:r w:rsidR="009C7A42">
        <w:rPr>
          <w:rFonts w:hint="eastAsia"/>
          <w:bCs/>
          <w:szCs w:val="21"/>
        </w:rPr>
        <w:t>用新的输入数据推算</w:t>
      </w:r>
      <w:proofErr w:type="gramStart"/>
      <w:r>
        <w:rPr>
          <w:rFonts w:hint="eastAsia"/>
          <w:bCs/>
          <w:szCs w:val="21"/>
        </w:rPr>
        <w:t>待预测</w:t>
      </w:r>
      <w:proofErr w:type="gramEnd"/>
      <w:r w:rsidR="00B0156B">
        <w:rPr>
          <w:rFonts w:hint="eastAsia"/>
          <w:bCs/>
          <w:szCs w:val="21"/>
        </w:rPr>
        <w:t>样本数值。</w:t>
      </w:r>
      <w:r w:rsidR="009C7A42">
        <w:rPr>
          <w:rFonts w:hint="eastAsia"/>
          <w:bCs/>
          <w:szCs w:val="21"/>
        </w:rPr>
        <w:t>B</w:t>
      </w:r>
      <w:r w:rsidR="009C7A42">
        <w:rPr>
          <w:bCs/>
          <w:szCs w:val="21"/>
        </w:rPr>
        <w:t>P</w:t>
      </w:r>
      <w:r w:rsidR="009C7A42">
        <w:rPr>
          <w:bCs/>
          <w:szCs w:val="21"/>
        </w:rPr>
        <w:t>神经网络是一种按误差反向传播的多层前馈神经网络</w:t>
      </w:r>
      <w:r w:rsidR="005B675F">
        <w:rPr>
          <w:rFonts w:hint="eastAsia"/>
          <w:bCs/>
          <w:szCs w:val="21"/>
        </w:rPr>
        <w:t>，包括输入层、隐含层以及输出层。</w:t>
      </w:r>
      <w:r w:rsidR="002B15BA">
        <w:rPr>
          <w:rFonts w:hint="eastAsia"/>
          <w:bCs/>
          <w:szCs w:val="21"/>
        </w:rPr>
        <w:t>该算法包括两个阶段：从输入层通过隐含层逐层计算输出结果的过程，以及从输出层逐层误差反向传播的学习过程。神经网络具有很强的非线性拟合能力，</w:t>
      </w:r>
      <w:r w:rsidR="00FF2482">
        <w:rPr>
          <w:rFonts w:hint="eastAsia"/>
          <w:bCs/>
          <w:szCs w:val="21"/>
        </w:rPr>
        <w:t>可映射任意复杂的非线性</w:t>
      </w:r>
      <w:r w:rsidR="005B4BA4">
        <w:rPr>
          <w:rFonts w:hint="eastAsia"/>
          <w:bCs/>
          <w:szCs w:val="21"/>
        </w:rPr>
        <w:t>关系，而且学习规则简单，便于计算机实现。并且神经网络具有很强的稳健性、记忆能力以及很强的自学能力，因此有着广泛的应用空间。</w:t>
      </w:r>
      <w:r w:rsidR="009469F2">
        <w:rPr>
          <w:rFonts w:hint="eastAsia"/>
          <w:bCs/>
          <w:szCs w:val="21"/>
        </w:rPr>
        <w:t>然而，由于神经网络的优化目标是基于经验风险最小化，使其训练结果不太稳定，而且神经网络存在过度学习的问题。</w:t>
      </w:r>
    </w:p>
    <w:p w:rsidR="00EE652F" w:rsidRDefault="005B4BA4" w:rsidP="006248E2">
      <w:pPr>
        <w:spacing w:line="360" w:lineRule="auto"/>
        <w:ind w:firstLine="420"/>
        <w:rPr>
          <w:bCs/>
          <w:szCs w:val="21"/>
        </w:rPr>
      </w:pPr>
      <w:r>
        <w:rPr>
          <w:bCs/>
          <w:szCs w:val="21"/>
        </w:rPr>
        <w:t>支持</w:t>
      </w:r>
      <w:proofErr w:type="gramStart"/>
      <w:r>
        <w:rPr>
          <w:bCs/>
          <w:szCs w:val="21"/>
        </w:rPr>
        <w:t>向量机</w:t>
      </w:r>
      <w:proofErr w:type="gramEnd"/>
      <w:r>
        <w:rPr>
          <w:bCs/>
          <w:szCs w:val="21"/>
        </w:rPr>
        <w:t>是基于结构风险最小化原理构建的算法</w:t>
      </w:r>
      <w:r w:rsidR="00EE652F">
        <w:rPr>
          <w:rFonts w:hint="eastAsia"/>
          <w:bCs/>
          <w:szCs w:val="21"/>
        </w:rPr>
        <w:t>，</w:t>
      </w:r>
      <w:r w:rsidR="00EE652F">
        <w:rPr>
          <w:bCs/>
          <w:szCs w:val="21"/>
        </w:rPr>
        <w:t>在不增加经验风险的前提下</w:t>
      </w:r>
      <w:r w:rsidR="00EE652F">
        <w:rPr>
          <w:rFonts w:hint="eastAsia"/>
          <w:bCs/>
          <w:szCs w:val="21"/>
        </w:rPr>
        <w:t>，</w:t>
      </w:r>
      <w:r w:rsidR="00EE652F">
        <w:rPr>
          <w:bCs/>
          <w:szCs w:val="21"/>
        </w:rPr>
        <w:t>将置信区间的范围最大限度地缩小</w:t>
      </w:r>
      <w:r>
        <w:rPr>
          <w:rFonts w:hint="eastAsia"/>
          <w:bCs/>
          <w:szCs w:val="21"/>
        </w:rPr>
        <w:t>。</w:t>
      </w:r>
      <w:r w:rsidR="00EE652F">
        <w:rPr>
          <w:rFonts w:hint="eastAsia"/>
          <w:bCs/>
          <w:szCs w:val="21"/>
        </w:rPr>
        <w:t>支持</w:t>
      </w:r>
      <w:proofErr w:type="gramStart"/>
      <w:r w:rsidR="00EE652F">
        <w:rPr>
          <w:rFonts w:hint="eastAsia"/>
          <w:bCs/>
          <w:szCs w:val="21"/>
        </w:rPr>
        <w:t>向量机经历</w:t>
      </w:r>
      <w:proofErr w:type="gramEnd"/>
      <w:r w:rsidR="00EE652F">
        <w:rPr>
          <w:rFonts w:hint="eastAsia"/>
          <w:bCs/>
          <w:szCs w:val="21"/>
        </w:rPr>
        <w:t>了从二维到多维的发展过程，</w:t>
      </w:r>
      <w:r>
        <w:rPr>
          <w:bCs/>
          <w:szCs w:val="21"/>
        </w:rPr>
        <w:t>建立一个超平面作为决策面</w:t>
      </w:r>
      <w:r>
        <w:rPr>
          <w:rFonts w:hint="eastAsia"/>
          <w:bCs/>
          <w:szCs w:val="21"/>
        </w:rPr>
        <w:t>，</w:t>
      </w:r>
      <w:r>
        <w:rPr>
          <w:bCs/>
          <w:szCs w:val="21"/>
        </w:rPr>
        <w:t>在</w:t>
      </w:r>
      <w:proofErr w:type="gramStart"/>
      <w:r>
        <w:rPr>
          <w:bCs/>
          <w:szCs w:val="21"/>
        </w:rPr>
        <w:t>决策面</w:t>
      </w:r>
      <w:proofErr w:type="gramEnd"/>
      <w:r>
        <w:rPr>
          <w:bCs/>
          <w:szCs w:val="21"/>
        </w:rPr>
        <w:t>能够正确分类样本的情况下</w:t>
      </w:r>
      <w:r>
        <w:rPr>
          <w:rFonts w:hint="eastAsia"/>
          <w:bCs/>
          <w:szCs w:val="21"/>
        </w:rPr>
        <w:t>，</w:t>
      </w:r>
      <w:r>
        <w:rPr>
          <w:bCs/>
          <w:szCs w:val="21"/>
        </w:rPr>
        <w:t>使样本中离</w:t>
      </w:r>
      <w:proofErr w:type="gramStart"/>
      <w:r>
        <w:rPr>
          <w:bCs/>
          <w:szCs w:val="21"/>
        </w:rPr>
        <w:t>分类面</w:t>
      </w:r>
      <w:proofErr w:type="gramEnd"/>
      <w:r>
        <w:rPr>
          <w:bCs/>
          <w:szCs w:val="21"/>
        </w:rPr>
        <w:t>最近的点的</w:t>
      </w:r>
      <w:r>
        <w:rPr>
          <w:rFonts w:hint="eastAsia"/>
          <w:bCs/>
          <w:szCs w:val="21"/>
        </w:rPr>
        <w:t>“间隔”最大。支持</w:t>
      </w:r>
      <w:proofErr w:type="gramStart"/>
      <w:r>
        <w:rPr>
          <w:rFonts w:hint="eastAsia"/>
          <w:bCs/>
          <w:szCs w:val="21"/>
        </w:rPr>
        <w:t>向量机</w:t>
      </w:r>
      <w:proofErr w:type="gramEnd"/>
      <w:r>
        <w:rPr>
          <w:rFonts w:hint="eastAsia"/>
          <w:bCs/>
          <w:szCs w:val="21"/>
        </w:rPr>
        <w:t>是具有</w:t>
      </w:r>
      <w:proofErr w:type="gramStart"/>
      <w:r>
        <w:rPr>
          <w:rFonts w:hint="eastAsia"/>
          <w:bCs/>
          <w:szCs w:val="21"/>
        </w:rPr>
        <w:t>单隐层</w:t>
      </w:r>
      <w:proofErr w:type="gramEnd"/>
      <w:r>
        <w:rPr>
          <w:rFonts w:hint="eastAsia"/>
          <w:bCs/>
          <w:szCs w:val="21"/>
        </w:rPr>
        <w:t>的前馈神经网络，</w:t>
      </w:r>
      <w:r w:rsidR="00EE652F">
        <w:rPr>
          <w:rFonts w:hint="eastAsia"/>
          <w:bCs/>
          <w:szCs w:val="21"/>
        </w:rPr>
        <w:t>支持向量</w:t>
      </w:r>
      <w:proofErr w:type="gramStart"/>
      <w:r w:rsidR="00EE652F">
        <w:rPr>
          <w:rFonts w:hint="eastAsia"/>
          <w:bCs/>
          <w:szCs w:val="21"/>
        </w:rPr>
        <w:t>是隐层的</w:t>
      </w:r>
      <w:proofErr w:type="gramEnd"/>
      <w:r w:rsidR="00EE652F">
        <w:rPr>
          <w:rFonts w:hint="eastAsia"/>
          <w:bCs/>
          <w:szCs w:val="21"/>
        </w:rPr>
        <w:t>神经元。</w:t>
      </w:r>
      <w:r w:rsidR="00EE652F">
        <w:rPr>
          <w:rFonts w:hint="eastAsia"/>
          <w:bCs/>
          <w:szCs w:val="21"/>
        </w:rPr>
        <w:t>SVM</w:t>
      </w:r>
      <w:r w:rsidR="00EE652F">
        <w:rPr>
          <w:rFonts w:hint="eastAsia"/>
          <w:bCs/>
          <w:szCs w:val="21"/>
        </w:rPr>
        <w:t>中支持向量是由算法自动确定不需要认为指定数目和权值。支持向量机具有严格的理论和数学基础，基于结构风险最小化原则，可以使模型在整个样本集上的期望风险得到控制，算法具有全局</w:t>
      </w:r>
      <w:r w:rsidR="00662921">
        <w:rPr>
          <w:rFonts w:hint="eastAsia"/>
          <w:bCs/>
          <w:szCs w:val="21"/>
        </w:rPr>
        <w:t>最优性。但支持</w:t>
      </w:r>
      <w:proofErr w:type="gramStart"/>
      <w:r w:rsidR="00662921">
        <w:rPr>
          <w:rFonts w:hint="eastAsia"/>
          <w:bCs/>
          <w:szCs w:val="21"/>
        </w:rPr>
        <w:t>向量机算法</w:t>
      </w:r>
      <w:proofErr w:type="gramEnd"/>
      <w:r w:rsidR="00662921">
        <w:rPr>
          <w:rFonts w:hint="eastAsia"/>
          <w:bCs/>
          <w:szCs w:val="21"/>
        </w:rPr>
        <w:t>对大规模训练样本较难实施。</w:t>
      </w:r>
    </w:p>
    <w:p w:rsidR="00CD7F80" w:rsidRDefault="00CD7F80" w:rsidP="00CD7F80">
      <w:pPr>
        <w:spacing w:line="360" w:lineRule="auto"/>
        <w:rPr>
          <w:bCs/>
          <w:szCs w:val="21"/>
        </w:rPr>
      </w:pPr>
      <w:r>
        <w:rPr>
          <w:rFonts w:hint="eastAsia"/>
          <w:bCs/>
          <w:szCs w:val="21"/>
        </w:rPr>
        <w:t>6</w:t>
      </w:r>
      <w:r>
        <w:rPr>
          <w:bCs/>
          <w:szCs w:val="21"/>
        </w:rPr>
        <w:t>.1.3</w:t>
      </w:r>
      <w:r w:rsidR="00235BC7">
        <w:rPr>
          <w:bCs/>
          <w:szCs w:val="21"/>
        </w:rPr>
        <w:t>宏观预警</w:t>
      </w:r>
      <w:r>
        <w:rPr>
          <w:bCs/>
          <w:szCs w:val="21"/>
        </w:rPr>
        <w:t>方法</w:t>
      </w:r>
      <w:r w:rsidR="00235BC7">
        <w:rPr>
          <w:bCs/>
          <w:szCs w:val="21"/>
        </w:rPr>
        <w:t>综合比较</w:t>
      </w:r>
    </w:p>
    <w:p w:rsidR="008334D5" w:rsidRDefault="00235BC7" w:rsidP="006248E2">
      <w:pPr>
        <w:spacing w:line="360" w:lineRule="auto"/>
        <w:ind w:firstLine="420"/>
        <w:rPr>
          <w:bCs/>
          <w:szCs w:val="21"/>
        </w:rPr>
      </w:pPr>
      <w:r>
        <w:rPr>
          <w:rFonts w:hint="eastAsia"/>
          <w:bCs/>
          <w:szCs w:val="21"/>
        </w:rPr>
        <w:t>宏观经济是一个非常复杂的系统，经济增长的波动是由多种因素作用的结果，周期性变动并不能解释全部原因，中国发展研究中心主任陆铭就指出，</w:t>
      </w:r>
      <w:r w:rsidRPr="00FB6376">
        <w:rPr>
          <w:rFonts w:hint="eastAsia"/>
          <w:bCs/>
          <w:szCs w:val="21"/>
        </w:rPr>
        <w:t>中国经济增长速度的下滑不能以经济周期为托辞</w:t>
      </w:r>
      <w:r>
        <w:rPr>
          <w:rFonts w:hint="eastAsia"/>
          <w:bCs/>
          <w:szCs w:val="21"/>
        </w:rPr>
        <w:t>，</w:t>
      </w:r>
      <w:r w:rsidRPr="00FB6376">
        <w:rPr>
          <w:rFonts w:hint="eastAsia"/>
          <w:bCs/>
          <w:szCs w:val="21"/>
        </w:rPr>
        <w:t>把中国经济增长的下滑理解为经济周期，没有揭示问题的关键</w:t>
      </w:r>
      <w:r>
        <w:rPr>
          <w:rFonts w:hint="eastAsia"/>
          <w:bCs/>
          <w:szCs w:val="21"/>
        </w:rPr>
        <w:t>，中国经济增速下滑是我国经济的结构扭曲性造成的。因此，宏观经济若使用线性方法回归会造成经济预警的失真，并不能保证经济预警的有效性。</w:t>
      </w:r>
    </w:p>
    <w:p w:rsidR="00235BC7" w:rsidRDefault="008334D5" w:rsidP="006248E2">
      <w:pPr>
        <w:spacing w:line="360" w:lineRule="auto"/>
        <w:ind w:firstLine="420"/>
        <w:rPr>
          <w:bCs/>
          <w:szCs w:val="21"/>
        </w:rPr>
      </w:pPr>
      <w:r>
        <w:rPr>
          <w:rFonts w:hint="eastAsia"/>
          <w:bCs/>
          <w:szCs w:val="21"/>
        </w:rPr>
        <w:t>在对非线性方法的选取中，</w:t>
      </w:r>
      <w:r>
        <w:rPr>
          <w:bCs/>
          <w:szCs w:val="21"/>
        </w:rPr>
        <w:t>由于</w:t>
      </w:r>
      <w:r>
        <w:rPr>
          <w:rFonts w:hint="eastAsia"/>
          <w:bCs/>
          <w:szCs w:val="21"/>
        </w:rPr>
        <w:t>经济增长质量是价值评价而并非最优目标问题，鉴于</w:t>
      </w:r>
      <w:r>
        <w:rPr>
          <w:bCs/>
          <w:szCs w:val="21"/>
        </w:rPr>
        <w:t>支持</w:t>
      </w:r>
      <w:proofErr w:type="gramStart"/>
      <w:r>
        <w:rPr>
          <w:bCs/>
          <w:szCs w:val="21"/>
        </w:rPr>
        <w:t>向量机</w:t>
      </w:r>
      <w:proofErr w:type="gramEnd"/>
      <w:r>
        <w:rPr>
          <w:bCs/>
          <w:szCs w:val="21"/>
        </w:rPr>
        <w:t>的结构风险最小化结构设定</w:t>
      </w:r>
      <w:r>
        <w:rPr>
          <w:rFonts w:hint="eastAsia"/>
          <w:bCs/>
          <w:szCs w:val="21"/>
        </w:rPr>
        <w:t>，因此，无法使用支持</w:t>
      </w:r>
      <w:proofErr w:type="gramStart"/>
      <w:r>
        <w:rPr>
          <w:rFonts w:hint="eastAsia"/>
          <w:bCs/>
          <w:szCs w:val="21"/>
        </w:rPr>
        <w:t>向量机方法</w:t>
      </w:r>
      <w:proofErr w:type="gramEnd"/>
      <w:r>
        <w:rPr>
          <w:rFonts w:hint="eastAsia"/>
          <w:bCs/>
          <w:szCs w:val="21"/>
        </w:rPr>
        <w:t>进行二次规划问题的最优求解问题。</w:t>
      </w:r>
      <w:r w:rsidR="00297D25">
        <w:rPr>
          <w:rFonts w:hint="eastAsia"/>
          <w:bCs/>
          <w:szCs w:val="21"/>
        </w:rPr>
        <w:t>BP</w:t>
      </w:r>
      <w:r w:rsidR="00297D25">
        <w:rPr>
          <w:rFonts w:hint="eastAsia"/>
          <w:bCs/>
          <w:szCs w:val="21"/>
        </w:rPr>
        <w:t>神经网络</w:t>
      </w:r>
      <w:r w:rsidR="00F369BA">
        <w:rPr>
          <w:rFonts w:hint="eastAsia"/>
          <w:bCs/>
          <w:szCs w:val="21"/>
        </w:rPr>
        <w:t>由于网络结构的复杂</w:t>
      </w:r>
      <w:r w:rsidR="00297D25">
        <w:rPr>
          <w:rFonts w:hint="eastAsia"/>
          <w:bCs/>
          <w:szCs w:val="21"/>
        </w:rPr>
        <w:t>，会拉低误差下降速度、延长计算调整时</w:t>
      </w:r>
      <w:r w:rsidR="00297D25">
        <w:rPr>
          <w:rFonts w:hint="eastAsia"/>
          <w:bCs/>
          <w:szCs w:val="21"/>
        </w:rPr>
        <w:lastRenderedPageBreak/>
        <w:t>间、</w:t>
      </w:r>
      <w:r w:rsidR="002E360F">
        <w:rPr>
          <w:rFonts w:hint="eastAsia"/>
          <w:bCs/>
          <w:szCs w:val="21"/>
        </w:rPr>
        <w:t>训练存在局部极小问题，这些问题可以引入粗糙集</w:t>
      </w:r>
      <w:r w:rsidR="00753F1C">
        <w:rPr>
          <w:rStyle w:val="a9"/>
          <w:bCs/>
          <w:szCs w:val="21"/>
        </w:rPr>
        <w:footnoteReference w:id="2"/>
      </w:r>
      <w:r w:rsidR="002E360F">
        <w:rPr>
          <w:rFonts w:hint="eastAsia"/>
          <w:bCs/>
          <w:szCs w:val="21"/>
        </w:rPr>
        <w:t>作为构建预警系统的前置系统</w:t>
      </w:r>
      <w:r w:rsidR="00B5401F">
        <w:rPr>
          <w:rFonts w:hint="eastAsia"/>
          <w:bCs/>
          <w:szCs w:val="21"/>
        </w:rPr>
        <w:t>进行改善</w:t>
      </w:r>
      <w:r w:rsidR="002E360F">
        <w:rPr>
          <w:rFonts w:hint="eastAsia"/>
          <w:bCs/>
          <w:szCs w:val="21"/>
        </w:rPr>
        <w:t>。</w:t>
      </w:r>
      <w:r w:rsidR="00826AF5">
        <w:rPr>
          <w:rFonts w:hint="eastAsia"/>
          <w:bCs/>
          <w:szCs w:val="21"/>
        </w:rPr>
        <w:t>粗糙</w:t>
      </w:r>
      <w:proofErr w:type="gramStart"/>
      <w:r w:rsidR="00826AF5">
        <w:rPr>
          <w:rFonts w:hint="eastAsia"/>
          <w:bCs/>
          <w:szCs w:val="21"/>
        </w:rPr>
        <w:t>集理论</w:t>
      </w:r>
      <w:proofErr w:type="gramEnd"/>
      <w:r w:rsidR="00826AF5">
        <w:rPr>
          <w:rFonts w:hint="eastAsia"/>
          <w:bCs/>
          <w:szCs w:val="21"/>
        </w:rPr>
        <w:t>可以</w:t>
      </w:r>
      <w:r w:rsidR="003A2D02">
        <w:rPr>
          <w:rFonts w:hint="eastAsia"/>
          <w:bCs/>
          <w:szCs w:val="21"/>
        </w:rPr>
        <w:t>在保持</w:t>
      </w:r>
      <w:r w:rsidR="00F369BA">
        <w:rPr>
          <w:rFonts w:hint="eastAsia"/>
          <w:bCs/>
          <w:szCs w:val="21"/>
        </w:rPr>
        <w:t>原本能力不变的前提下</w:t>
      </w:r>
      <w:r w:rsidR="00826AF5">
        <w:rPr>
          <w:rFonts w:hint="eastAsia"/>
          <w:bCs/>
          <w:szCs w:val="21"/>
        </w:rPr>
        <w:t>剔除冗余信息，降低信息系统的复杂度，可以</w:t>
      </w:r>
      <w:r w:rsidR="00F369BA">
        <w:rPr>
          <w:rFonts w:hint="eastAsia"/>
          <w:bCs/>
          <w:szCs w:val="21"/>
        </w:rPr>
        <w:t>有效的降低</w:t>
      </w:r>
      <w:r w:rsidR="00F369BA">
        <w:rPr>
          <w:rFonts w:hint="eastAsia"/>
          <w:bCs/>
          <w:szCs w:val="21"/>
        </w:rPr>
        <w:t>BP</w:t>
      </w:r>
      <w:r w:rsidR="00F369BA">
        <w:rPr>
          <w:rFonts w:hint="eastAsia"/>
          <w:bCs/>
          <w:szCs w:val="21"/>
        </w:rPr>
        <w:t>神经网络的</w:t>
      </w:r>
      <w:r w:rsidR="00753F1C">
        <w:rPr>
          <w:rFonts w:hint="eastAsia"/>
          <w:bCs/>
          <w:szCs w:val="21"/>
        </w:rPr>
        <w:t>复杂性。</w:t>
      </w:r>
    </w:p>
    <w:p w:rsidR="00662921" w:rsidRPr="00662921" w:rsidRDefault="00753F1C" w:rsidP="006248E2">
      <w:pPr>
        <w:spacing w:line="360" w:lineRule="auto"/>
        <w:ind w:firstLine="420"/>
        <w:rPr>
          <w:bCs/>
          <w:szCs w:val="21"/>
        </w:rPr>
      </w:pPr>
      <w:r>
        <w:rPr>
          <w:rFonts w:hint="eastAsia"/>
          <w:bCs/>
          <w:szCs w:val="21"/>
        </w:rPr>
        <w:t>综上以上</w:t>
      </w:r>
      <w:r w:rsidR="00662921">
        <w:rPr>
          <w:rFonts w:hint="eastAsia"/>
          <w:bCs/>
          <w:szCs w:val="21"/>
        </w:rPr>
        <w:t>比较，我们采用</w:t>
      </w:r>
      <w:r w:rsidR="007D37DA">
        <w:rPr>
          <w:rFonts w:hint="eastAsia"/>
          <w:bCs/>
          <w:szCs w:val="21"/>
        </w:rPr>
        <w:t>粗糙集与</w:t>
      </w:r>
      <w:r w:rsidR="00662921">
        <w:rPr>
          <w:rFonts w:hint="eastAsia"/>
          <w:bCs/>
          <w:szCs w:val="21"/>
        </w:rPr>
        <w:t>BP</w:t>
      </w:r>
      <w:r w:rsidR="007D37DA">
        <w:rPr>
          <w:rFonts w:hint="eastAsia"/>
          <w:bCs/>
          <w:szCs w:val="21"/>
        </w:rPr>
        <w:t>神经网络结合的方法对于宏观经济进行监测预警。首先运用粗糙集方法对预警指标进行属性约简，然后用简约后的预警指标作为</w:t>
      </w:r>
      <w:r w:rsidR="007D37DA">
        <w:rPr>
          <w:rFonts w:hint="eastAsia"/>
          <w:bCs/>
          <w:szCs w:val="21"/>
        </w:rPr>
        <w:t>BP</w:t>
      </w:r>
      <w:r w:rsidR="001E4E9C">
        <w:rPr>
          <w:rFonts w:hint="eastAsia"/>
          <w:bCs/>
          <w:szCs w:val="21"/>
        </w:rPr>
        <w:t>神经网络的样本数据进行训练，最后运用训练号的神经网络对检验样本进行评价并达到宏观经济预警的目的。</w:t>
      </w:r>
    </w:p>
    <w:p w:rsidR="005F6F9C" w:rsidRPr="005F6F9C" w:rsidRDefault="005F6F9C" w:rsidP="005F6F9C">
      <w:pPr>
        <w:spacing w:line="360" w:lineRule="auto"/>
        <w:rPr>
          <w:b/>
          <w:bCs/>
          <w:sz w:val="24"/>
        </w:rPr>
      </w:pPr>
      <w:r w:rsidRPr="00F008F2">
        <w:rPr>
          <w:bCs/>
          <w:sz w:val="24"/>
        </w:rPr>
        <w:t>6.2</w:t>
      </w:r>
      <w:r w:rsidRPr="00F008F2">
        <w:rPr>
          <w:bCs/>
          <w:sz w:val="24"/>
        </w:rPr>
        <w:t>地方经济增长质量和效益的监测预警体系构建</w:t>
      </w:r>
    </w:p>
    <w:p w:rsidR="000C0B05" w:rsidRDefault="00DA79A5" w:rsidP="00823354">
      <w:pPr>
        <w:spacing w:line="360" w:lineRule="auto"/>
        <w:ind w:firstLine="420"/>
        <w:rPr>
          <w:bCs/>
          <w:szCs w:val="21"/>
        </w:rPr>
      </w:pPr>
      <w:r w:rsidRPr="001D11D7">
        <w:rPr>
          <w:bCs/>
          <w:szCs w:val="21"/>
        </w:rPr>
        <w:t>如前所述</w:t>
      </w:r>
      <w:r w:rsidRPr="001D11D7">
        <w:rPr>
          <w:rFonts w:hint="eastAsia"/>
          <w:bCs/>
          <w:szCs w:val="21"/>
        </w:rPr>
        <w:t>，</w:t>
      </w:r>
      <w:r w:rsidR="006C5E76" w:rsidRPr="001D11D7">
        <w:rPr>
          <w:rFonts w:hint="eastAsia"/>
          <w:bCs/>
          <w:szCs w:val="21"/>
        </w:rPr>
        <w:t>地方</w:t>
      </w:r>
      <w:r w:rsidRPr="001D11D7">
        <w:rPr>
          <w:rFonts w:hint="eastAsia"/>
          <w:bCs/>
          <w:szCs w:val="21"/>
        </w:rPr>
        <w:t>经济增长质量和效益监测预警</w:t>
      </w:r>
      <w:r w:rsidR="00056EEF" w:rsidRPr="001D11D7">
        <w:rPr>
          <w:rFonts w:hint="eastAsia"/>
          <w:bCs/>
          <w:szCs w:val="21"/>
        </w:rPr>
        <w:t>拥有丰富的内涵与视角的特殊性，</w:t>
      </w:r>
      <w:r w:rsidR="00035895" w:rsidRPr="001D11D7">
        <w:rPr>
          <w:rFonts w:hint="eastAsia"/>
          <w:bCs/>
          <w:szCs w:val="21"/>
        </w:rPr>
        <w:t>在对地方经济增长质量监测预警系统的理论分析中，建立了对经济增长条件的监测预警、对经济增长过程的监测预警以及对经济增长结果的监测预警三个方面的地方经济增长质量监测预警分析框架，</w:t>
      </w:r>
      <w:r w:rsidR="00056EEF" w:rsidRPr="001D11D7">
        <w:rPr>
          <w:rFonts w:hint="eastAsia"/>
          <w:bCs/>
          <w:szCs w:val="21"/>
        </w:rPr>
        <w:t>由此将地方经济增长质量和效益监测预警划分为</w:t>
      </w:r>
      <w:r w:rsidR="00035895" w:rsidRPr="001D11D7">
        <w:rPr>
          <w:rFonts w:hint="eastAsia"/>
          <w:bCs/>
          <w:szCs w:val="21"/>
        </w:rPr>
        <w:t>条件、过程、结果与效益四个维度。</w:t>
      </w:r>
      <w:r w:rsidR="00376139" w:rsidRPr="001D11D7">
        <w:rPr>
          <w:rFonts w:hint="eastAsia"/>
          <w:bCs/>
          <w:szCs w:val="21"/>
        </w:rPr>
        <w:t>地方经济增长质量和效益监测预警体系构建需要考虑两个原则：一是实时性原则，监测预警拥有短期时效性，因此指标构建选取月度数据；二是</w:t>
      </w:r>
      <w:r w:rsidR="007667F5" w:rsidRPr="001D11D7">
        <w:rPr>
          <w:rFonts w:hint="eastAsia"/>
          <w:bCs/>
          <w:szCs w:val="21"/>
        </w:rPr>
        <w:t>可得性原则，由于地方月度数据公布不足，因此选取的指标均满足各省可得</w:t>
      </w:r>
      <w:proofErr w:type="gramStart"/>
      <w:r w:rsidR="007667F5" w:rsidRPr="001D11D7">
        <w:rPr>
          <w:rFonts w:hint="eastAsia"/>
          <w:bCs/>
          <w:szCs w:val="21"/>
        </w:rPr>
        <w:t>且数据</w:t>
      </w:r>
      <w:proofErr w:type="gramEnd"/>
      <w:r w:rsidR="007667F5" w:rsidRPr="001D11D7">
        <w:rPr>
          <w:rFonts w:hint="eastAsia"/>
          <w:bCs/>
          <w:szCs w:val="21"/>
        </w:rPr>
        <w:t>缺失较少。</w:t>
      </w:r>
    </w:p>
    <w:p w:rsidR="00627B44" w:rsidRDefault="00627B44" w:rsidP="00823354">
      <w:pPr>
        <w:spacing w:line="360" w:lineRule="auto"/>
        <w:ind w:firstLine="420"/>
        <w:rPr>
          <w:bCs/>
          <w:szCs w:val="21"/>
        </w:rPr>
      </w:pPr>
      <w:r w:rsidRPr="006D5538">
        <w:rPr>
          <w:bCs/>
          <w:szCs w:val="21"/>
          <w:highlight w:val="yellow"/>
        </w:rPr>
        <w:t>条件维度</w:t>
      </w:r>
      <w:r w:rsidR="00951C5A" w:rsidRPr="006D5538">
        <w:rPr>
          <w:bCs/>
          <w:szCs w:val="21"/>
          <w:highlight w:val="yellow"/>
        </w:rPr>
        <w:t>是关注经济增长质量的条件形成维度</w:t>
      </w:r>
      <w:r w:rsidR="00951C5A" w:rsidRPr="006D5538">
        <w:rPr>
          <w:rFonts w:hint="eastAsia"/>
          <w:bCs/>
          <w:szCs w:val="21"/>
          <w:highlight w:val="yellow"/>
        </w:rPr>
        <w:t>，</w:t>
      </w:r>
      <w:r w:rsidR="00955C82" w:rsidRPr="006D5538">
        <w:rPr>
          <w:rFonts w:hint="eastAsia"/>
          <w:bCs/>
          <w:szCs w:val="21"/>
          <w:highlight w:val="yellow"/>
        </w:rPr>
        <w:t>条</w:t>
      </w:r>
      <w:r w:rsidR="00955C82">
        <w:rPr>
          <w:rFonts w:hint="eastAsia"/>
          <w:bCs/>
          <w:szCs w:val="21"/>
        </w:rPr>
        <w:t>件维度内涵包括经济主体中的半成品产量和投资情况</w:t>
      </w:r>
      <w:r w:rsidR="00062B42">
        <w:rPr>
          <w:rFonts w:hint="eastAsia"/>
          <w:bCs/>
          <w:szCs w:val="21"/>
        </w:rPr>
        <w:t>，因此我们选择钢材产量、水泥产量衡量半成品产量，</w:t>
      </w:r>
      <w:r w:rsidR="007662CF">
        <w:rPr>
          <w:rFonts w:hint="eastAsia"/>
          <w:bCs/>
          <w:szCs w:val="21"/>
        </w:rPr>
        <w:t>货运量、</w:t>
      </w:r>
      <w:r w:rsidR="00062B42">
        <w:rPr>
          <w:rFonts w:hint="eastAsia"/>
          <w:bCs/>
          <w:szCs w:val="21"/>
        </w:rPr>
        <w:t>投资新开工项目与深市股票成交量</w:t>
      </w:r>
      <w:r w:rsidR="007662CF">
        <w:rPr>
          <w:rFonts w:hint="eastAsia"/>
          <w:bCs/>
          <w:szCs w:val="21"/>
        </w:rPr>
        <w:t>衡量投资情况。钢材与水泥</w:t>
      </w:r>
      <w:r w:rsidR="00933CBE">
        <w:rPr>
          <w:rFonts w:hint="eastAsia"/>
          <w:bCs/>
          <w:szCs w:val="21"/>
        </w:rPr>
        <w:t>是工业发展的基础半成品</w:t>
      </w:r>
      <w:r w:rsidR="0026541D">
        <w:rPr>
          <w:rFonts w:hint="eastAsia"/>
          <w:bCs/>
          <w:szCs w:val="21"/>
        </w:rPr>
        <w:t>；</w:t>
      </w:r>
      <w:r w:rsidR="00933CBE">
        <w:rPr>
          <w:rFonts w:hint="eastAsia"/>
          <w:bCs/>
          <w:szCs w:val="21"/>
        </w:rPr>
        <w:t>货运量反映固定资产投入，新开工项目反映发展机会，而股票成交量反映资金投入情况</w:t>
      </w:r>
      <w:r w:rsidR="0026541D">
        <w:rPr>
          <w:rFonts w:hint="eastAsia"/>
          <w:bCs/>
          <w:szCs w:val="21"/>
        </w:rPr>
        <w:t>，三个指标共同反映经济投资情况</w:t>
      </w:r>
      <w:r w:rsidR="00933CBE">
        <w:rPr>
          <w:rFonts w:hint="eastAsia"/>
          <w:bCs/>
          <w:szCs w:val="21"/>
        </w:rPr>
        <w:t>。</w:t>
      </w:r>
    </w:p>
    <w:p w:rsidR="00933CBE" w:rsidRDefault="00933CBE" w:rsidP="00823354">
      <w:pPr>
        <w:spacing w:line="360" w:lineRule="auto"/>
        <w:ind w:firstLine="420"/>
        <w:rPr>
          <w:bCs/>
          <w:szCs w:val="21"/>
        </w:rPr>
      </w:pPr>
      <w:r w:rsidRPr="004D5D38">
        <w:rPr>
          <w:bCs/>
          <w:szCs w:val="21"/>
          <w:highlight w:val="yellow"/>
        </w:rPr>
        <w:t>过程维度结合地区</w:t>
      </w:r>
      <w:r w:rsidRPr="004D5D38">
        <w:rPr>
          <w:rFonts w:hint="eastAsia"/>
          <w:bCs/>
          <w:szCs w:val="21"/>
          <w:highlight w:val="yellow"/>
        </w:rPr>
        <w:t>经济</w:t>
      </w:r>
      <w:r w:rsidRPr="004D5D38">
        <w:rPr>
          <w:bCs/>
          <w:szCs w:val="21"/>
          <w:highlight w:val="yellow"/>
        </w:rPr>
        <w:t>结构开展生产</w:t>
      </w:r>
      <w:r w:rsidRPr="004D5D38">
        <w:rPr>
          <w:rFonts w:hint="eastAsia"/>
          <w:bCs/>
          <w:szCs w:val="21"/>
          <w:highlight w:val="yellow"/>
        </w:rPr>
        <w:t>，</w:t>
      </w:r>
      <w:r>
        <w:rPr>
          <w:bCs/>
          <w:szCs w:val="21"/>
        </w:rPr>
        <w:t>展现经济增长质量的形成过程</w:t>
      </w:r>
      <w:r>
        <w:rPr>
          <w:rFonts w:hint="eastAsia"/>
          <w:bCs/>
          <w:szCs w:val="21"/>
        </w:rPr>
        <w:t>。经济基础决定上层建筑，现有的经济结构构成地区生产</w:t>
      </w:r>
      <w:r w:rsidR="00DF2DB1">
        <w:rPr>
          <w:rFonts w:hint="eastAsia"/>
          <w:bCs/>
          <w:szCs w:val="21"/>
        </w:rPr>
        <w:t>方式，因此过程维度是对地方经济结构的展现。我们选取工业增加值、发电量、进出口总额，表现地方经济增长质量的形成过程。工业增加值是对地方工业发展状况的反映，发电量与</w:t>
      </w:r>
      <w:r w:rsidR="00DF2DB1">
        <w:rPr>
          <w:rFonts w:hint="eastAsia"/>
          <w:bCs/>
          <w:szCs w:val="21"/>
        </w:rPr>
        <w:t>GDP</w:t>
      </w:r>
      <w:r w:rsidR="00DF2DB1">
        <w:rPr>
          <w:rFonts w:hint="eastAsia"/>
          <w:bCs/>
          <w:szCs w:val="21"/>
        </w:rPr>
        <w:t>变化一致，可以更加准确地反映地方经济发展状况，进出口总额是对地方国际贸易发展状况的体现。</w:t>
      </w:r>
    </w:p>
    <w:p w:rsidR="00DF2DB1" w:rsidRDefault="00DF2DB1" w:rsidP="00823354">
      <w:pPr>
        <w:spacing w:line="360" w:lineRule="auto"/>
        <w:ind w:firstLine="420"/>
        <w:rPr>
          <w:bCs/>
          <w:szCs w:val="21"/>
        </w:rPr>
      </w:pPr>
      <w:r w:rsidRPr="004D5D38">
        <w:rPr>
          <w:bCs/>
          <w:szCs w:val="21"/>
          <w:highlight w:val="yellow"/>
        </w:rPr>
        <w:t>结果维度是对地区经济增长质量结果的价值判断</w:t>
      </w:r>
      <w:r w:rsidRPr="004D5D38">
        <w:rPr>
          <w:rFonts w:hint="eastAsia"/>
          <w:bCs/>
          <w:szCs w:val="21"/>
          <w:highlight w:val="yellow"/>
        </w:rPr>
        <w:t>，</w:t>
      </w:r>
      <w:r w:rsidR="00FB1A60" w:rsidRPr="004D5D38">
        <w:rPr>
          <w:bCs/>
          <w:szCs w:val="21"/>
          <w:highlight w:val="yellow"/>
        </w:rPr>
        <w:t>对</w:t>
      </w:r>
      <w:r w:rsidR="00FB1A60">
        <w:rPr>
          <w:bCs/>
          <w:szCs w:val="21"/>
        </w:rPr>
        <w:t>经济有质量发展的结果评价</w:t>
      </w:r>
      <w:r w:rsidR="00FB1A60">
        <w:rPr>
          <w:rFonts w:hint="eastAsia"/>
          <w:bCs/>
          <w:szCs w:val="21"/>
        </w:rPr>
        <w:t>。</w:t>
      </w:r>
      <w:r w:rsidR="00103067">
        <w:rPr>
          <w:rFonts w:hint="eastAsia"/>
          <w:bCs/>
          <w:szCs w:val="21"/>
        </w:rPr>
        <w:t>经济高质量发展表现在对利益和谐的重视以及经济可持续发展的重视。我们选取工业生产者出厂价格指数（</w:t>
      </w:r>
      <w:r w:rsidR="00103067">
        <w:rPr>
          <w:rFonts w:hint="eastAsia"/>
          <w:bCs/>
          <w:szCs w:val="21"/>
        </w:rPr>
        <w:t>PPI</w:t>
      </w:r>
      <w:r w:rsidR="00103067">
        <w:rPr>
          <w:rFonts w:hint="eastAsia"/>
          <w:bCs/>
          <w:szCs w:val="21"/>
        </w:rPr>
        <w:t>）、工业产品库存以及地方政府的财政收入指标，对经济增长质量的结果进行</w:t>
      </w:r>
      <w:r w:rsidR="00103067">
        <w:rPr>
          <w:rFonts w:hint="eastAsia"/>
          <w:bCs/>
          <w:szCs w:val="21"/>
        </w:rPr>
        <w:lastRenderedPageBreak/>
        <w:t>判断。</w:t>
      </w:r>
      <w:r w:rsidR="00B24948">
        <w:rPr>
          <w:rFonts w:hint="eastAsia"/>
          <w:bCs/>
          <w:szCs w:val="21"/>
        </w:rPr>
        <w:t>PPI</w:t>
      </w:r>
      <w:r w:rsidR="00B24948">
        <w:rPr>
          <w:rFonts w:hint="eastAsia"/>
          <w:bCs/>
          <w:szCs w:val="21"/>
        </w:rPr>
        <w:t>反映生产领域价格变动情况，表现不同地区生产领域的市场价格走势；工业产品库存可以直接反映工业</w:t>
      </w:r>
      <w:r w:rsidR="006C5B11">
        <w:rPr>
          <w:rFonts w:hint="eastAsia"/>
          <w:bCs/>
          <w:szCs w:val="21"/>
        </w:rPr>
        <w:t>持续发展状况，</w:t>
      </w:r>
      <w:r w:rsidR="004857C5">
        <w:rPr>
          <w:rFonts w:hint="eastAsia"/>
          <w:bCs/>
          <w:szCs w:val="21"/>
        </w:rPr>
        <w:t>体现工业生产走势；地方政府财政收入是</w:t>
      </w:r>
      <w:r w:rsidR="0026541D">
        <w:rPr>
          <w:rFonts w:hint="eastAsia"/>
          <w:bCs/>
          <w:szCs w:val="21"/>
        </w:rPr>
        <w:t>对地方政府</w:t>
      </w:r>
      <w:r w:rsidR="00703751">
        <w:rPr>
          <w:rFonts w:hint="eastAsia"/>
          <w:bCs/>
          <w:szCs w:val="21"/>
        </w:rPr>
        <w:t>财政</w:t>
      </w:r>
      <w:r w:rsidR="0026541D">
        <w:rPr>
          <w:rFonts w:hint="eastAsia"/>
          <w:bCs/>
          <w:szCs w:val="21"/>
        </w:rPr>
        <w:t>实力的体现</w:t>
      </w:r>
      <w:r w:rsidR="004857C5">
        <w:rPr>
          <w:rFonts w:hint="eastAsia"/>
          <w:bCs/>
          <w:szCs w:val="21"/>
        </w:rPr>
        <w:t>，一定程度上地方财政收入代表地方经济的发展好坏。</w:t>
      </w:r>
    </w:p>
    <w:p w:rsidR="004857C5" w:rsidRPr="0026541D" w:rsidRDefault="004857C5" w:rsidP="00823354">
      <w:pPr>
        <w:spacing w:line="360" w:lineRule="auto"/>
        <w:ind w:firstLine="420"/>
        <w:rPr>
          <w:bCs/>
          <w:szCs w:val="21"/>
        </w:rPr>
      </w:pPr>
      <w:r w:rsidRPr="004D5D38">
        <w:rPr>
          <w:bCs/>
          <w:szCs w:val="21"/>
          <w:highlight w:val="yellow"/>
        </w:rPr>
        <w:t>效益维度</w:t>
      </w:r>
      <w:r w:rsidR="00296456" w:rsidRPr="004D5D38">
        <w:rPr>
          <w:bCs/>
          <w:szCs w:val="21"/>
          <w:highlight w:val="yellow"/>
        </w:rPr>
        <w:t>是对经济增长效益的评价</w:t>
      </w:r>
      <w:r w:rsidR="00296456" w:rsidRPr="004D5D38">
        <w:rPr>
          <w:rFonts w:hint="eastAsia"/>
          <w:bCs/>
          <w:szCs w:val="21"/>
          <w:highlight w:val="yellow"/>
        </w:rPr>
        <w:t>，</w:t>
      </w:r>
      <w:bookmarkStart w:id="0" w:name="_GoBack"/>
      <w:bookmarkEnd w:id="0"/>
      <w:r w:rsidR="00296456">
        <w:rPr>
          <w:bCs/>
          <w:szCs w:val="21"/>
        </w:rPr>
        <w:t>主要包括经济效益</w:t>
      </w:r>
      <w:r w:rsidR="00296456">
        <w:rPr>
          <w:rFonts w:hint="eastAsia"/>
          <w:bCs/>
          <w:szCs w:val="21"/>
        </w:rPr>
        <w:t>、</w:t>
      </w:r>
      <w:r w:rsidR="00296456">
        <w:rPr>
          <w:bCs/>
          <w:szCs w:val="21"/>
        </w:rPr>
        <w:t>社会效益</w:t>
      </w:r>
      <w:r w:rsidR="00296456">
        <w:rPr>
          <w:rFonts w:hint="eastAsia"/>
          <w:bCs/>
          <w:szCs w:val="21"/>
        </w:rPr>
        <w:t>、</w:t>
      </w:r>
      <w:r w:rsidR="00296456">
        <w:rPr>
          <w:bCs/>
          <w:szCs w:val="21"/>
        </w:rPr>
        <w:t>生态效益三个方面</w:t>
      </w:r>
      <w:r w:rsidR="00296456">
        <w:rPr>
          <w:rFonts w:hint="eastAsia"/>
          <w:bCs/>
          <w:szCs w:val="21"/>
        </w:rPr>
        <w:t>。</w:t>
      </w:r>
      <w:r w:rsidR="00296456">
        <w:rPr>
          <w:bCs/>
          <w:szCs w:val="21"/>
        </w:rPr>
        <w:t>依据任保平</w:t>
      </w:r>
      <w:r w:rsidR="00296456">
        <w:rPr>
          <w:rFonts w:hint="eastAsia"/>
          <w:bCs/>
          <w:szCs w:val="21"/>
        </w:rPr>
        <w:t>（</w:t>
      </w:r>
      <w:r w:rsidR="00296456">
        <w:rPr>
          <w:rFonts w:hint="eastAsia"/>
          <w:bCs/>
          <w:szCs w:val="21"/>
        </w:rPr>
        <w:t>2015</w:t>
      </w:r>
      <w:r w:rsidR="00296456">
        <w:rPr>
          <w:rFonts w:hint="eastAsia"/>
          <w:bCs/>
          <w:szCs w:val="21"/>
        </w:rPr>
        <w:t>）</w:t>
      </w:r>
      <w:r w:rsidR="00CE648E">
        <w:rPr>
          <w:rStyle w:val="a9"/>
          <w:bCs/>
          <w:sz w:val="24"/>
        </w:rPr>
        <w:footnoteReference w:id="3"/>
      </w:r>
      <w:r w:rsidR="00296456">
        <w:rPr>
          <w:rFonts w:hint="eastAsia"/>
          <w:bCs/>
          <w:szCs w:val="21"/>
        </w:rPr>
        <w:t>给出的经济增长效益的内涵，我们选取固定资产投资完成额、客运量、居民消费价格指数（</w:t>
      </w:r>
      <w:r w:rsidR="00296456">
        <w:rPr>
          <w:rFonts w:hint="eastAsia"/>
          <w:bCs/>
          <w:szCs w:val="21"/>
        </w:rPr>
        <w:t>CPI</w:t>
      </w:r>
      <w:r w:rsidR="00296456">
        <w:rPr>
          <w:rFonts w:hint="eastAsia"/>
          <w:bCs/>
          <w:szCs w:val="21"/>
        </w:rPr>
        <w:t>）以及</w:t>
      </w:r>
      <w:r w:rsidR="00296456">
        <w:rPr>
          <w:rFonts w:hint="eastAsia"/>
          <w:bCs/>
          <w:szCs w:val="21"/>
        </w:rPr>
        <w:t>PM2.5</w:t>
      </w:r>
      <w:r w:rsidR="00296456">
        <w:rPr>
          <w:rFonts w:hint="eastAsia"/>
          <w:bCs/>
          <w:szCs w:val="21"/>
        </w:rPr>
        <w:t>对经济增长的效益进行评价。经济增长的经济效益是对投入产出的比较，因此选取固定资产投资完成额加以分析；客运量与</w:t>
      </w:r>
      <w:r w:rsidR="00296456">
        <w:rPr>
          <w:rFonts w:hint="eastAsia"/>
          <w:bCs/>
          <w:szCs w:val="21"/>
        </w:rPr>
        <w:t>CPI</w:t>
      </w:r>
      <w:r w:rsidR="00296456">
        <w:rPr>
          <w:rFonts w:hint="eastAsia"/>
          <w:bCs/>
          <w:szCs w:val="21"/>
        </w:rPr>
        <w:t>对人民生活和福利水平进行评价，构成对经济增长社会效益的体现；</w:t>
      </w:r>
      <w:r w:rsidR="00296456">
        <w:rPr>
          <w:rFonts w:hint="eastAsia"/>
          <w:bCs/>
          <w:szCs w:val="21"/>
        </w:rPr>
        <w:t>PM2.5</w:t>
      </w:r>
      <w:r w:rsidR="00296456">
        <w:rPr>
          <w:rFonts w:hint="eastAsia"/>
          <w:bCs/>
          <w:szCs w:val="21"/>
        </w:rPr>
        <w:t>直接反映地方空气环境质量，</w:t>
      </w:r>
      <w:r w:rsidR="0026541D">
        <w:rPr>
          <w:rFonts w:hint="eastAsia"/>
          <w:bCs/>
          <w:szCs w:val="21"/>
        </w:rPr>
        <w:t>以此体现地方经济增长的生态效益，但由于</w:t>
      </w:r>
      <w:r w:rsidR="0026541D">
        <w:rPr>
          <w:rFonts w:hint="eastAsia"/>
          <w:bCs/>
          <w:szCs w:val="21"/>
        </w:rPr>
        <w:t>PM2.5</w:t>
      </w:r>
      <w:r w:rsidR="0026541D">
        <w:rPr>
          <w:rFonts w:hint="eastAsia"/>
          <w:bCs/>
          <w:szCs w:val="21"/>
        </w:rPr>
        <w:t>以城市口径进行发布，因此该指标主要应用于城市经济增长质量与效益的监测预警。</w:t>
      </w:r>
    </w:p>
    <w:p w:rsidR="007667F5" w:rsidRDefault="007667F5" w:rsidP="001D11D7">
      <w:pPr>
        <w:spacing w:line="360" w:lineRule="auto"/>
        <w:ind w:firstLine="420"/>
        <w:rPr>
          <w:bCs/>
          <w:szCs w:val="21"/>
        </w:rPr>
      </w:pPr>
      <w:r w:rsidRPr="001D11D7">
        <w:rPr>
          <w:rFonts w:hint="eastAsia"/>
          <w:bCs/>
          <w:szCs w:val="21"/>
        </w:rPr>
        <w:t>基于此，从四大维度</w:t>
      </w:r>
      <w:r w:rsidR="00703751">
        <w:rPr>
          <w:rFonts w:hint="eastAsia"/>
          <w:bCs/>
          <w:szCs w:val="21"/>
        </w:rPr>
        <w:t>10</w:t>
      </w:r>
      <w:r w:rsidR="00703751">
        <w:rPr>
          <w:rFonts w:hint="eastAsia"/>
          <w:bCs/>
          <w:szCs w:val="21"/>
        </w:rPr>
        <w:t>个方面</w:t>
      </w:r>
      <w:r w:rsidRPr="001D11D7">
        <w:rPr>
          <w:rFonts w:hint="eastAsia"/>
          <w:bCs/>
          <w:szCs w:val="21"/>
        </w:rPr>
        <w:t>构建包含</w:t>
      </w:r>
      <w:r w:rsidR="00703751">
        <w:rPr>
          <w:bCs/>
          <w:szCs w:val="21"/>
        </w:rPr>
        <w:t>15</w:t>
      </w:r>
      <w:r w:rsidRPr="001D11D7">
        <w:rPr>
          <w:rFonts w:hint="eastAsia"/>
          <w:bCs/>
          <w:szCs w:val="21"/>
        </w:rPr>
        <w:t>个基础指标的地方经济增长质量</w:t>
      </w:r>
      <w:r w:rsidR="00823354">
        <w:rPr>
          <w:rFonts w:hint="eastAsia"/>
          <w:bCs/>
          <w:szCs w:val="21"/>
        </w:rPr>
        <w:t>和效益</w:t>
      </w:r>
      <w:r w:rsidRPr="001D11D7">
        <w:rPr>
          <w:rFonts w:hint="eastAsia"/>
          <w:bCs/>
          <w:szCs w:val="21"/>
        </w:rPr>
        <w:t>的监测预警系统指标体系（如表</w:t>
      </w:r>
      <w:r w:rsidRPr="001D11D7">
        <w:rPr>
          <w:rFonts w:hint="eastAsia"/>
          <w:bCs/>
          <w:szCs w:val="21"/>
        </w:rPr>
        <w:t>1</w:t>
      </w:r>
      <w:r w:rsidRPr="001D11D7">
        <w:rPr>
          <w:rFonts w:hint="eastAsia"/>
          <w:bCs/>
          <w:szCs w:val="21"/>
        </w:rPr>
        <w:t>所所示），以监测预警地方经济增长的质量和效益。</w:t>
      </w:r>
    </w:p>
    <w:p w:rsidR="00627B44" w:rsidRDefault="00627B44" w:rsidP="006D770E">
      <w:pPr>
        <w:ind w:firstLine="420"/>
        <w:jc w:val="center"/>
        <w:rPr>
          <w:bCs/>
          <w:szCs w:val="21"/>
        </w:rPr>
      </w:pPr>
      <w:r>
        <w:rPr>
          <w:bCs/>
          <w:szCs w:val="21"/>
        </w:rPr>
        <w:t>表</w:t>
      </w:r>
      <w:r>
        <w:rPr>
          <w:rFonts w:hint="eastAsia"/>
          <w:bCs/>
          <w:szCs w:val="21"/>
        </w:rPr>
        <w:t xml:space="preserve">1  </w:t>
      </w:r>
      <w:r>
        <w:rPr>
          <w:rFonts w:hint="eastAsia"/>
          <w:bCs/>
          <w:szCs w:val="21"/>
        </w:rPr>
        <w:t>地方经济增长质量和效益监测预警指标体系</w:t>
      </w:r>
    </w:p>
    <w:tbl>
      <w:tblPr>
        <w:tblW w:w="5000" w:type="pct"/>
        <w:tblLook w:val="04A0" w:firstRow="1" w:lastRow="0" w:firstColumn="1" w:lastColumn="0" w:noHBand="0" w:noVBand="1"/>
      </w:tblPr>
      <w:tblGrid>
        <w:gridCol w:w="1747"/>
        <w:gridCol w:w="1939"/>
        <w:gridCol w:w="2552"/>
        <w:gridCol w:w="2068"/>
      </w:tblGrid>
      <w:tr w:rsidR="003579D1" w:rsidRPr="003579D1" w:rsidTr="003579D1">
        <w:trPr>
          <w:trHeight w:val="270"/>
        </w:trPr>
        <w:tc>
          <w:tcPr>
            <w:tcW w:w="1052" w:type="pct"/>
            <w:tcBorders>
              <w:top w:val="single" w:sz="12" w:space="0" w:color="auto"/>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b/>
                <w:bCs/>
                <w:color w:val="000000"/>
                <w:kern w:val="0"/>
                <w:szCs w:val="21"/>
              </w:rPr>
            </w:pPr>
            <w:r w:rsidRPr="00703751">
              <w:rPr>
                <w:rFonts w:ascii="宋体" w:hAnsi="宋体" w:cs="宋体" w:hint="eastAsia"/>
                <w:b/>
                <w:bCs/>
                <w:color w:val="000000"/>
                <w:kern w:val="0"/>
                <w:szCs w:val="21"/>
              </w:rPr>
              <w:t>方面指数</w:t>
            </w:r>
          </w:p>
        </w:tc>
        <w:tc>
          <w:tcPr>
            <w:tcW w:w="1167" w:type="pct"/>
            <w:tcBorders>
              <w:top w:val="single" w:sz="12" w:space="0" w:color="auto"/>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b/>
                <w:bCs/>
                <w:color w:val="000000"/>
                <w:kern w:val="0"/>
                <w:szCs w:val="21"/>
              </w:rPr>
            </w:pPr>
            <w:r w:rsidRPr="00703751">
              <w:rPr>
                <w:rFonts w:ascii="宋体" w:hAnsi="宋体" w:cs="宋体" w:hint="eastAsia"/>
                <w:b/>
                <w:bCs/>
                <w:color w:val="000000"/>
                <w:kern w:val="0"/>
                <w:szCs w:val="21"/>
              </w:rPr>
              <w:t>分项指标</w:t>
            </w:r>
          </w:p>
        </w:tc>
        <w:tc>
          <w:tcPr>
            <w:tcW w:w="1536" w:type="pct"/>
            <w:tcBorders>
              <w:top w:val="single" w:sz="12" w:space="0" w:color="auto"/>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b/>
                <w:bCs/>
                <w:color w:val="000000"/>
                <w:kern w:val="0"/>
                <w:szCs w:val="21"/>
              </w:rPr>
            </w:pPr>
            <w:r w:rsidRPr="00703751">
              <w:rPr>
                <w:rFonts w:ascii="宋体" w:hAnsi="宋体" w:cs="宋体" w:hint="eastAsia"/>
                <w:b/>
                <w:bCs/>
                <w:color w:val="000000"/>
                <w:kern w:val="0"/>
                <w:szCs w:val="21"/>
              </w:rPr>
              <w:t>基础指标</w:t>
            </w:r>
          </w:p>
        </w:tc>
        <w:tc>
          <w:tcPr>
            <w:tcW w:w="1245" w:type="pct"/>
            <w:tcBorders>
              <w:top w:val="single" w:sz="12" w:space="0" w:color="auto"/>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b/>
                <w:bCs/>
                <w:color w:val="000000"/>
                <w:kern w:val="0"/>
                <w:szCs w:val="21"/>
              </w:rPr>
            </w:pPr>
            <w:r w:rsidRPr="00703751">
              <w:rPr>
                <w:rFonts w:ascii="宋体" w:hAnsi="宋体" w:cs="宋体" w:hint="eastAsia"/>
                <w:b/>
                <w:bCs/>
                <w:color w:val="000000"/>
                <w:kern w:val="0"/>
                <w:szCs w:val="21"/>
              </w:rPr>
              <w:t>计量单位</w:t>
            </w:r>
          </w:p>
        </w:tc>
      </w:tr>
      <w:tr w:rsidR="003579D1" w:rsidRPr="003579D1" w:rsidTr="003579D1">
        <w:trPr>
          <w:trHeight w:val="270"/>
        </w:trPr>
        <w:tc>
          <w:tcPr>
            <w:tcW w:w="1052" w:type="pct"/>
            <w:vMerge w:val="restart"/>
            <w:tcBorders>
              <w:top w:val="single" w:sz="4" w:space="0" w:color="auto"/>
              <w:left w:val="nil"/>
              <w:bottom w:val="single" w:sz="4" w:space="0" w:color="000000"/>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条件维度</w:t>
            </w:r>
          </w:p>
        </w:tc>
        <w:tc>
          <w:tcPr>
            <w:tcW w:w="1167" w:type="pct"/>
            <w:vMerge w:val="restart"/>
            <w:tcBorders>
              <w:top w:val="single" w:sz="4" w:space="0" w:color="auto"/>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半成品产量</w:t>
            </w:r>
          </w:p>
        </w:tc>
        <w:tc>
          <w:tcPr>
            <w:tcW w:w="1536" w:type="pct"/>
            <w:tcBorders>
              <w:top w:val="single" w:sz="4" w:space="0" w:color="auto"/>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钢材产量</w:t>
            </w:r>
          </w:p>
        </w:tc>
        <w:tc>
          <w:tcPr>
            <w:tcW w:w="1245" w:type="pct"/>
            <w:tcBorders>
              <w:top w:val="single" w:sz="4" w:space="0" w:color="auto"/>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万吨</w:t>
            </w:r>
          </w:p>
        </w:tc>
      </w:tr>
      <w:tr w:rsidR="003579D1" w:rsidRPr="003579D1" w:rsidTr="003579D1">
        <w:trPr>
          <w:trHeight w:val="285"/>
        </w:trPr>
        <w:tc>
          <w:tcPr>
            <w:tcW w:w="1052" w:type="pct"/>
            <w:vMerge/>
            <w:tcBorders>
              <w:top w:val="single" w:sz="4" w:space="0" w:color="auto"/>
              <w:left w:val="nil"/>
              <w:bottom w:val="single" w:sz="4"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vMerge/>
            <w:tcBorders>
              <w:top w:val="single" w:sz="4" w:space="0" w:color="auto"/>
              <w:left w:val="nil"/>
              <w:bottom w:val="nil"/>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536"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水泥产量</w:t>
            </w:r>
          </w:p>
        </w:tc>
        <w:tc>
          <w:tcPr>
            <w:tcW w:w="1245"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万吨</w:t>
            </w:r>
          </w:p>
        </w:tc>
      </w:tr>
      <w:tr w:rsidR="003579D1" w:rsidRPr="003579D1" w:rsidTr="003579D1">
        <w:trPr>
          <w:trHeight w:val="270"/>
        </w:trPr>
        <w:tc>
          <w:tcPr>
            <w:tcW w:w="1052" w:type="pct"/>
            <w:vMerge/>
            <w:tcBorders>
              <w:top w:val="single" w:sz="4" w:space="0" w:color="auto"/>
              <w:left w:val="nil"/>
              <w:bottom w:val="single" w:sz="4"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vMerge w:val="restart"/>
            <w:tcBorders>
              <w:top w:val="nil"/>
              <w:left w:val="nil"/>
              <w:bottom w:val="single" w:sz="4" w:space="0" w:color="000000"/>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经济投资</w:t>
            </w:r>
          </w:p>
        </w:tc>
        <w:tc>
          <w:tcPr>
            <w:tcW w:w="1536"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货运量</w:t>
            </w:r>
          </w:p>
        </w:tc>
        <w:tc>
          <w:tcPr>
            <w:tcW w:w="1245"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亿吨</w:t>
            </w:r>
          </w:p>
        </w:tc>
      </w:tr>
      <w:tr w:rsidR="003579D1" w:rsidRPr="003579D1" w:rsidTr="003579D1">
        <w:trPr>
          <w:trHeight w:val="270"/>
        </w:trPr>
        <w:tc>
          <w:tcPr>
            <w:tcW w:w="1052" w:type="pct"/>
            <w:vMerge/>
            <w:tcBorders>
              <w:top w:val="single" w:sz="4" w:space="0" w:color="auto"/>
              <w:left w:val="nil"/>
              <w:bottom w:val="single" w:sz="4"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vMerge/>
            <w:tcBorders>
              <w:top w:val="nil"/>
              <w:left w:val="nil"/>
              <w:bottom w:val="single" w:sz="4"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536"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投资新开工项目</w:t>
            </w:r>
          </w:p>
        </w:tc>
        <w:tc>
          <w:tcPr>
            <w:tcW w:w="1245"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proofErr w:type="gramStart"/>
            <w:r w:rsidRPr="00703751">
              <w:rPr>
                <w:rFonts w:ascii="宋体" w:hAnsi="宋体" w:cs="宋体" w:hint="eastAsia"/>
                <w:color w:val="000000"/>
                <w:kern w:val="0"/>
                <w:sz w:val="18"/>
                <w:szCs w:val="18"/>
              </w:rPr>
              <w:t>个</w:t>
            </w:r>
            <w:proofErr w:type="gramEnd"/>
          </w:p>
        </w:tc>
      </w:tr>
      <w:tr w:rsidR="003579D1" w:rsidRPr="003579D1" w:rsidTr="003579D1">
        <w:trPr>
          <w:trHeight w:val="270"/>
        </w:trPr>
        <w:tc>
          <w:tcPr>
            <w:tcW w:w="1052" w:type="pct"/>
            <w:vMerge/>
            <w:tcBorders>
              <w:top w:val="single" w:sz="4" w:space="0" w:color="auto"/>
              <w:left w:val="nil"/>
              <w:bottom w:val="single" w:sz="4"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vMerge/>
            <w:tcBorders>
              <w:top w:val="nil"/>
              <w:left w:val="nil"/>
              <w:bottom w:val="single" w:sz="4"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536" w:type="pct"/>
            <w:tcBorders>
              <w:top w:val="nil"/>
              <w:left w:val="nil"/>
              <w:bottom w:val="single" w:sz="4" w:space="0" w:color="auto"/>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深市股票成交量</w:t>
            </w:r>
          </w:p>
        </w:tc>
        <w:tc>
          <w:tcPr>
            <w:tcW w:w="1245" w:type="pct"/>
            <w:tcBorders>
              <w:top w:val="nil"/>
              <w:left w:val="nil"/>
              <w:bottom w:val="single" w:sz="4" w:space="0" w:color="auto"/>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百万元</w:t>
            </w:r>
          </w:p>
        </w:tc>
      </w:tr>
      <w:tr w:rsidR="003579D1" w:rsidRPr="003579D1" w:rsidTr="003579D1">
        <w:trPr>
          <w:trHeight w:val="270"/>
        </w:trPr>
        <w:tc>
          <w:tcPr>
            <w:tcW w:w="1052" w:type="pct"/>
            <w:vMerge w:val="restart"/>
            <w:tcBorders>
              <w:top w:val="nil"/>
              <w:left w:val="nil"/>
              <w:bottom w:val="single" w:sz="4" w:space="0" w:color="000000"/>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过程维度</w:t>
            </w:r>
          </w:p>
        </w:tc>
        <w:tc>
          <w:tcPr>
            <w:tcW w:w="1167"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产业机构</w:t>
            </w:r>
          </w:p>
        </w:tc>
        <w:tc>
          <w:tcPr>
            <w:tcW w:w="1536"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工业增加值（同比）</w:t>
            </w:r>
          </w:p>
        </w:tc>
        <w:tc>
          <w:tcPr>
            <w:tcW w:w="1245"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w:t>
            </w:r>
          </w:p>
        </w:tc>
      </w:tr>
      <w:tr w:rsidR="003579D1" w:rsidRPr="003579D1" w:rsidTr="003579D1">
        <w:trPr>
          <w:trHeight w:val="270"/>
        </w:trPr>
        <w:tc>
          <w:tcPr>
            <w:tcW w:w="1052" w:type="pct"/>
            <w:vMerge/>
            <w:tcBorders>
              <w:top w:val="nil"/>
              <w:left w:val="nil"/>
              <w:bottom w:val="single" w:sz="4"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地方经济</w:t>
            </w:r>
          </w:p>
        </w:tc>
        <w:tc>
          <w:tcPr>
            <w:tcW w:w="1536"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发电量</w:t>
            </w:r>
          </w:p>
        </w:tc>
        <w:tc>
          <w:tcPr>
            <w:tcW w:w="1245"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亿千瓦时</w:t>
            </w:r>
          </w:p>
        </w:tc>
      </w:tr>
      <w:tr w:rsidR="003579D1" w:rsidRPr="003579D1" w:rsidTr="003579D1">
        <w:trPr>
          <w:trHeight w:val="270"/>
        </w:trPr>
        <w:tc>
          <w:tcPr>
            <w:tcW w:w="1052" w:type="pct"/>
            <w:vMerge/>
            <w:tcBorders>
              <w:top w:val="nil"/>
              <w:left w:val="nil"/>
              <w:bottom w:val="single" w:sz="4"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tcBorders>
              <w:top w:val="nil"/>
              <w:left w:val="nil"/>
              <w:bottom w:val="single" w:sz="4" w:space="0" w:color="auto"/>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国际收支</w:t>
            </w:r>
          </w:p>
        </w:tc>
        <w:tc>
          <w:tcPr>
            <w:tcW w:w="1536" w:type="pct"/>
            <w:tcBorders>
              <w:top w:val="nil"/>
              <w:left w:val="nil"/>
              <w:bottom w:val="single" w:sz="4" w:space="0" w:color="auto"/>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进出口总额</w:t>
            </w:r>
          </w:p>
        </w:tc>
        <w:tc>
          <w:tcPr>
            <w:tcW w:w="1245" w:type="pct"/>
            <w:tcBorders>
              <w:top w:val="nil"/>
              <w:left w:val="nil"/>
              <w:bottom w:val="single" w:sz="4" w:space="0" w:color="auto"/>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千美元</w:t>
            </w:r>
          </w:p>
        </w:tc>
      </w:tr>
      <w:tr w:rsidR="003579D1" w:rsidRPr="003579D1" w:rsidTr="003579D1">
        <w:trPr>
          <w:trHeight w:val="270"/>
        </w:trPr>
        <w:tc>
          <w:tcPr>
            <w:tcW w:w="1052" w:type="pct"/>
            <w:vMerge w:val="restart"/>
            <w:tcBorders>
              <w:top w:val="nil"/>
              <w:left w:val="nil"/>
              <w:bottom w:val="single" w:sz="4" w:space="0" w:color="000000"/>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结果维度</w:t>
            </w:r>
          </w:p>
        </w:tc>
        <w:tc>
          <w:tcPr>
            <w:tcW w:w="1167" w:type="pct"/>
            <w:vMerge w:val="restar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产业发展</w:t>
            </w:r>
          </w:p>
        </w:tc>
        <w:tc>
          <w:tcPr>
            <w:tcW w:w="1536"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PPI</w:t>
            </w:r>
          </w:p>
        </w:tc>
        <w:tc>
          <w:tcPr>
            <w:tcW w:w="1245"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w:t>
            </w:r>
          </w:p>
        </w:tc>
      </w:tr>
      <w:tr w:rsidR="003579D1" w:rsidRPr="003579D1" w:rsidTr="003579D1">
        <w:trPr>
          <w:trHeight w:val="270"/>
        </w:trPr>
        <w:tc>
          <w:tcPr>
            <w:tcW w:w="1052" w:type="pct"/>
            <w:vMerge/>
            <w:tcBorders>
              <w:top w:val="nil"/>
              <w:left w:val="nil"/>
              <w:bottom w:val="single" w:sz="4"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vMerge/>
            <w:tcBorders>
              <w:top w:val="nil"/>
              <w:left w:val="nil"/>
              <w:bottom w:val="nil"/>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536"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工业产品库存</w:t>
            </w:r>
          </w:p>
        </w:tc>
        <w:tc>
          <w:tcPr>
            <w:tcW w:w="1245"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亿元</w:t>
            </w:r>
          </w:p>
        </w:tc>
      </w:tr>
      <w:tr w:rsidR="003579D1" w:rsidRPr="003579D1" w:rsidTr="003579D1">
        <w:trPr>
          <w:trHeight w:val="270"/>
        </w:trPr>
        <w:tc>
          <w:tcPr>
            <w:tcW w:w="1052" w:type="pct"/>
            <w:vMerge/>
            <w:tcBorders>
              <w:top w:val="nil"/>
              <w:left w:val="nil"/>
              <w:bottom w:val="single" w:sz="4"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tcBorders>
              <w:top w:val="nil"/>
              <w:left w:val="nil"/>
              <w:bottom w:val="single" w:sz="4" w:space="0" w:color="auto"/>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财政实力</w:t>
            </w:r>
          </w:p>
        </w:tc>
        <w:tc>
          <w:tcPr>
            <w:tcW w:w="1536" w:type="pct"/>
            <w:tcBorders>
              <w:top w:val="nil"/>
              <w:left w:val="nil"/>
              <w:bottom w:val="single" w:sz="4" w:space="0" w:color="auto"/>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地方政府的财政收入</w:t>
            </w:r>
          </w:p>
        </w:tc>
        <w:tc>
          <w:tcPr>
            <w:tcW w:w="1245" w:type="pct"/>
            <w:tcBorders>
              <w:top w:val="nil"/>
              <w:left w:val="nil"/>
              <w:bottom w:val="single" w:sz="4" w:space="0" w:color="auto"/>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亿元</w:t>
            </w:r>
          </w:p>
        </w:tc>
      </w:tr>
      <w:tr w:rsidR="003579D1" w:rsidRPr="003579D1" w:rsidTr="003579D1">
        <w:trPr>
          <w:trHeight w:val="270"/>
        </w:trPr>
        <w:tc>
          <w:tcPr>
            <w:tcW w:w="1052" w:type="pct"/>
            <w:vMerge w:val="restart"/>
            <w:tcBorders>
              <w:top w:val="nil"/>
              <w:left w:val="nil"/>
              <w:bottom w:val="single" w:sz="8" w:space="0" w:color="000000"/>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效益维度</w:t>
            </w:r>
          </w:p>
        </w:tc>
        <w:tc>
          <w:tcPr>
            <w:tcW w:w="1167"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经济效益</w:t>
            </w:r>
          </w:p>
        </w:tc>
        <w:tc>
          <w:tcPr>
            <w:tcW w:w="1536"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固定资产投资完成额</w:t>
            </w:r>
          </w:p>
        </w:tc>
        <w:tc>
          <w:tcPr>
            <w:tcW w:w="1245"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亿元</w:t>
            </w:r>
          </w:p>
        </w:tc>
      </w:tr>
      <w:tr w:rsidR="003579D1" w:rsidRPr="003579D1" w:rsidTr="003579D1">
        <w:trPr>
          <w:trHeight w:val="270"/>
        </w:trPr>
        <w:tc>
          <w:tcPr>
            <w:tcW w:w="1052" w:type="pct"/>
            <w:vMerge/>
            <w:tcBorders>
              <w:top w:val="nil"/>
              <w:left w:val="nil"/>
              <w:bottom w:val="single" w:sz="8"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vMerge w:val="restar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社会效益</w:t>
            </w:r>
          </w:p>
        </w:tc>
        <w:tc>
          <w:tcPr>
            <w:tcW w:w="1536"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客运量</w:t>
            </w:r>
          </w:p>
        </w:tc>
        <w:tc>
          <w:tcPr>
            <w:tcW w:w="1245"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万人</w:t>
            </w:r>
          </w:p>
        </w:tc>
      </w:tr>
      <w:tr w:rsidR="003579D1" w:rsidRPr="003579D1" w:rsidTr="003579D1">
        <w:trPr>
          <w:trHeight w:val="270"/>
        </w:trPr>
        <w:tc>
          <w:tcPr>
            <w:tcW w:w="1052" w:type="pct"/>
            <w:vMerge/>
            <w:tcBorders>
              <w:top w:val="nil"/>
              <w:left w:val="nil"/>
              <w:bottom w:val="single" w:sz="8" w:space="0" w:color="000000"/>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vMerge/>
            <w:tcBorders>
              <w:top w:val="nil"/>
              <w:left w:val="nil"/>
              <w:bottom w:val="nil"/>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536"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CPI</w:t>
            </w:r>
          </w:p>
        </w:tc>
        <w:tc>
          <w:tcPr>
            <w:tcW w:w="1245" w:type="pct"/>
            <w:tcBorders>
              <w:top w:val="nil"/>
              <w:left w:val="nil"/>
              <w:bottom w:val="nil"/>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w:t>
            </w:r>
          </w:p>
        </w:tc>
      </w:tr>
      <w:tr w:rsidR="003579D1" w:rsidRPr="003579D1" w:rsidTr="003579D1">
        <w:trPr>
          <w:trHeight w:val="285"/>
        </w:trPr>
        <w:tc>
          <w:tcPr>
            <w:tcW w:w="1052" w:type="pct"/>
            <w:vMerge/>
            <w:tcBorders>
              <w:top w:val="nil"/>
              <w:left w:val="nil"/>
              <w:bottom w:val="single" w:sz="18" w:space="0" w:color="auto"/>
              <w:right w:val="nil"/>
            </w:tcBorders>
            <w:vAlign w:val="center"/>
            <w:hideMark/>
          </w:tcPr>
          <w:p w:rsidR="00703751" w:rsidRPr="00703751" w:rsidRDefault="00703751" w:rsidP="00703751">
            <w:pPr>
              <w:widowControl/>
              <w:jc w:val="left"/>
              <w:rPr>
                <w:rFonts w:ascii="宋体" w:hAnsi="宋体" w:cs="宋体"/>
                <w:color w:val="000000"/>
                <w:kern w:val="0"/>
                <w:sz w:val="18"/>
                <w:szCs w:val="18"/>
              </w:rPr>
            </w:pPr>
          </w:p>
        </w:tc>
        <w:tc>
          <w:tcPr>
            <w:tcW w:w="1167" w:type="pct"/>
            <w:tcBorders>
              <w:top w:val="nil"/>
              <w:left w:val="nil"/>
              <w:bottom w:val="single" w:sz="18" w:space="0" w:color="auto"/>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r w:rsidRPr="00703751">
              <w:rPr>
                <w:rFonts w:ascii="宋体" w:hAnsi="宋体" w:cs="宋体" w:hint="eastAsia"/>
                <w:color w:val="000000"/>
                <w:kern w:val="0"/>
                <w:sz w:val="18"/>
                <w:szCs w:val="18"/>
              </w:rPr>
              <w:t>生态效益</w:t>
            </w:r>
          </w:p>
        </w:tc>
        <w:tc>
          <w:tcPr>
            <w:tcW w:w="1536" w:type="pct"/>
            <w:tcBorders>
              <w:top w:val="nil"/>
              <w:left w:val="nil"/>
              <w:bottom w:val="single" w:sz="18" w:space="0" w:color="auto"/>
              <w:right w:val="nil"/>
            </w:tcBorders>
            <w:shd w:val="clear" w:color="auto" w:fill="auto"/>
            <w:noWrap/>
            <w:vAlign w:val="center"/>
            <w:hideMark/>
          </w:tcPr>
          <w:p w:rsidR="00703751" w:rsidRPr="00703751" w:rsidRDefault="00703751" w:rsidP="00703751">
            <w:pPr>
              <w:widowControl/>
              <w:jc w:val="center"/>
              <w:rPr>
                <w:rFonts w:ascii="宋体" w:hAnsi="宋体" w:cs="宋体"/>
                <w:color w:val="000000"/>
                <w:kern w:val="0"/>
                <w:sz w:val="18"/>
                <w:szCs w:val="18"/>
              </w:rPr>
            </w:pPr>
            <w:bookmarkStart w:id="1" w:name="RANGE!D16"/>
            <w:r w:rsidRPr="00703751">
              <w:rPr>
                <w:rFonts w:ascii="宋体" w:hAnsi="宋体" w:cs="宋体" w:hint="eastAsia"/>
                <w:color w:val="000000"/>
                <w:kern w:val="0"/>
                <w:sz w:val="18"/>
                <w:szCs w:val="18"/>
              </w:rPr>
              <w:t>PM2.5</w:t>
            </w:r>
            <w:bookmarkEnd w:id="1"/>
            <w:r w:rsidRPr="003579D1">
              <w:rPr>
                <w:rStyle w:val="a9"/>
                <w:rFonts w:ascii="宋体" w:hAnsi="宋体" w:cs="宋体"/>
                <w:kern w:val="0"/>
                <w:sz w:val="18"/>
                <w:szCs w:val="18"/>
              </w:rPr>
              <w:footnoteReference w:id="4"/>
            </w:r>
          </w:p>
        </w:tc>
        <w:tc>
          <w:tcPr>
            <w:tcW w:w="1245" w:type="pct"/>
            <w:tcBorders>
              <w:top w:val="nil"/>
              <w:left w:val="nil"/>
              <w:bottom w:val="single" w:sz="18" w:space="0" w:color="auto"/>
              <w:right w:val="nil"/>
            </w:tcBorders>
            <w:shd w:val="clear" w:color="auto" w:fill="auto"/>
            <w:noWrap/>
            <w:vAlign w:val="center"/>
            <w:hideMark/>
          </w:tcPr>
          <w:p w:rsidR="00703751" w:rsidRPr="00703751" w:rsidRDefault="00703751" w:rsidP="003579D1">
            <w:pPr>
              <w:widowControl/>
              <w:jc w:val="center"/>
              <w:rPr>
                <w:rFonts w:ascii="宋体" w:hAnsi="宋体" w:cs="宋体"/>
                <w:color w:val="000000"/>
                <w:kern w:val="0"/>
                <w:sz w:val="18"/>
                <w:szCs w:val="18"/>
              </w:rPr>
            </w:pPr>
            <w:proofErr w:type="gramStart"/>
            <w:r w:rsidRPr="00703751">
              <w:rPr>
                <w:rFonts w:ascii="宋体" w:hAnsi="宋体" w:cs="宋体" w:hint="eastAsia"/>
                <w:color w:val="000000"/>
                <w:kern w:val="0"/>
                <w:sz w:val="18"/>
                <w:szCs w:val="18"/>
              </w:rPr>
              <w:t>微克每</w:t>
            </w:r>
            <w:proofErr w:type="gramEnd"/>
            <w:r w:rsidRPr="00703751">
              <w:rPr>
                <w:rFonts w:ascii="宋体" w:hAnsi="宋体" w:cs="宋体" w:hint="eastAsia"/>
                <w:color w:val="000000"/>
                <w:kern w:val="0"/>
                <w:sz w:val="18"/>
                <w:szCs w:val="18"/>
              </w:rPr>
              <w:t>立方米</w:t>
            </w:r>
          </w:p>
        </w:tc>
      </w:tr>
    </w:tbl>
    <w:p w:rsidR="00B96701" w:rsidRPr="001D11D7" w:rsidRDefault="00703751" w:rsidP="00703751">
      <w:pPr>
        <w:spacing w:line="360" w:lineRule="auto"/>
        <w:rPr>
          <w:bCs/>
          <w:szCs w:val="21"/>
        </w:rPr>
      </w:pPr>
      <w:r>
        <w:rPr>
          <w:bCs/>
          <w:szCs w:val="21"/>
        </w:rPr>
        <w:tab/>
      </w:r>
      <w:r>
        <w:rPr>
          <w:bCs/>
          <w:szCs w:val="21"/>
        </w:rPr>
        <w:t>这些指标直接使用原始数据</w:t>
      </w:r>
      <w:r>
        <w:rPr>
          <w:rFonts w:hint="eastAsia"/>
          <w:bCs/>
          <w:szCs w:val="21"/>
        </w:rPr>
        <w:t>，</w:t>
      </w:r>
      <w:r>
        <w:rPr>
          <w:bCs/>
          <w:szCs w:val="21"/>
        </w:rPr>
        <w:t>数据主要来自于历年</w:t>
      </w:r>
      <w:r>
        <w:rPr>
          <w:rFonts w:hint="eastAsia"/>
          <w:bCs/>
          <w:szCs w:val="21"/>
        </w:rPr>
        <w:t>《中国统计年鉴》，各省区统计年鉴，以及《中国经济数据库》。</w:t>
      </w:r>
    </w:p>
    <w:p w:rsidR="00FF2482" w:rsidRPr="005F6F9C" w:rsidRDefault="00FF2482"/>
    <w:sectPr w:rsidR="00FF2482" w:rsidRPr="005F6F9C">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8DB" w:rsidRDefault="004A18DB" w:rsidP="00551D11">
      <w:r>
        <w:separator/>
      </w:r>
    </w:p>
  </w:endnote>
  <w:endnote w:type="continuationSeparator" w:id="0">
    <w:p w:rsidR="004A18DB" w:rsidRDefault="004A18DB" w:rsidP="00551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8DB" w:rsidRDefault="004A18DB" w:rsidP="00551D11">
      <w:r>
        <w:separator/>
      </w:r>
    </w:p>
  </w:footnote>
  <w:footnote w:type="continuationSeparator" w:id="0">
    <w:p w:rsidR="004A18DB" w:rsidRDefault="004A18DB" w:rsidP="00551D11">
      <w:r>
        <w:continuationSeparator/>
      </w:r>
    </w:p>
  </w:footnote>
  <w:footnote w:id="1">
    <w:p w:rsidR="00CE648E" w:rsidRPr="00CE648E" w:rsidRDefault="00CE648E">
      <w:pPr>
        <w:pStyle w:val="a7"/>
      </w:pPr>
      <w:r>
        <w:rPr>
          <w:rStyle w:val="a9"/>
        </w:rPr>
        <w:footnoteRef/>
      </w:r>
      <w:r>
        <w:t xml:space="preserve"> DE </w:t>
      </w:r>
      <w:proofErr w:type="spellStart"/>
      <w:r>
        <w:t>Bumelhart</w:t>
      </w:r>
      <w:proofErr w:type="spellEnd"/>
      <w:r>
        <w:t xml:space="preserve">, JL </w:t>
      </w:r>
      <w:proofErr w:type="spellStart"/>
      <w:r>
        <w:t>Mcclelland</w:t>
      </w:r>
      <w:proofErr w:type="spellEnd"/>
      <w:r>
        <w:rPr>
          <w:rFonts w:hint="eastAsia"/>
        </w:rPr>
        <w:t xml:space="preserve">. </w:t>
      </w:r>
      <w:proofErr w:type="spellStart"/>
      <w:r>
        <w:rPr>
          <w:rFonts w:hint="eastAsia"/>
        </w:rPr>
        <w:t>Paralfef</w:t>
      </w:r>
      <w:proofErr w:type="spellEnd"/>
      <w:r>
        <w:rPr>
          <w:rFonts w:hint="eastAsia"/>
        </w:rPr>
        <w:t xml:space="preserve"> </w:t>
      </w:r>
      <w:proofErr w:type="spellStart"/>
      <w:r>
        <w:rPr>
          <w:rFonts w:hint="eastAsia"/>
        </w:rPr>
        <w:t>histributed</w:t>
      </w:r>
      <w:proofErr w:type="spellEnd"/>
      <w:r>
        <w:rPr>
          <w:rFonts w:hint="eastAsia"/>
        </w:rPr>
        <w:t xml:space="preserve"> processing: </w:t>
      </w:r>
      <w:proofErr w:type="spellStart"/>
      <w:r>
        <w:rPr>
          <w:rFonts w:hint="eastAsia"/>
        </w:rPr>
        <w:t>ezplorations</w:t>
      </w:r>
      <w:proofErr w:type="spellEnd"/>
      <w:r>
        <w:rPr>
          <w:rFonts w:hint="eastAsia"/>
        </w:rPr>
        <w:t xml:space="preserve"> </w:t>
      </w:r>
      <w:r>
        <w:t>in the microstructure of cognition [M]. Behavioral &amp; Brain Sciences, 1986.</w:t>
      </w:r>
    </w:p>
  </w:footnote>
  <w:footnote w:id="2">
    <w:p w:rsidR="00753F1C" w:rsidRDefault="00753F1C">
      <w:pPr>
        <w:pStyle w:val="a7"/>
      </w:pPr>
      <w:r>
        <w:rPr>
          <w:rStyle w:val="a9"/>
        </w:rPr>
        <w:footnoteRef/>
      </w:r>
      <w:r>
        <w:t xml:space="preserve"> </w:t>
      </w:r>
      <w:r>
        <w:rPr>
          <w:rFonts w:hint="eastAsia"/>
        </w:rPr>
        <w:t>粗糙</w:t>
      </w:r>
      <w:proofErr w:type="gramStart"/>
      <w:r>
        <w:rPr>
          <w:rFonts w:hint="eastAsia"/>
        </w:rPr>
        <w:t>集理论</w:t>
      </w:r>
      <w:proofErr w:type="gramEnd"/>
      <w:r>
        <w:rPr>
          <w:rFonts w:hint="eastAsia"/>
        </w:rPr>
        <w:t>是一种研究不完整数据、模糊和不确定性知识的表达、学习及归纳的数学工具，能够描述和处理不完备信息，能在保留关键信息的前提下对数据进行约简并求得知识的最小表达。</w:t>
      </w:r>
    </w:p>
  </w:footnote>
  <w:footnote w:id="3">
    <w:p w:rsidR="00CE648E" w:rsidRDefault="00CE648E" w:rsidP="00CE648E">
      <w:pPr>
        <w:pStyle w:val="a7"/>
      </w:pPr>
      <w:r>
        <w:rPr>
          <w:rStyle w:val="a9"/>
        </w:rPr>
        <w:footnoteRef/>
      </w:r>
      <w:r w:rsidR="00F745DB">
        <w:rPr>
          <w:rFonts w:hint="eastAsia"/>
        </w:rPr>
        <w:t xml:space="preserve"> </w:t>
      </w:r>
      <w:r w:rsidRPr="00F40848">
        <w:rPr>
          <w:rFonts w:hint="eastAsia"/>
        </w:rPr>
        <w:t>任保平</w:t>
      </w:r>
      <w:r>
        <w:rPr>
          <w:rFonts w:hint="eastAsia"/>
        </w:rPr>
        <w:t>.</w:t>
      </w:r>
      <w:r>
        <w:rPr>
          <w:rFonts w:hint="eastAsia"/>
        </w:rPr>
        <w:t>经济增长质量的逻辑</w:t>
      </w:r>
      <w:r>
        <w:rPr>
          <w:rFonts w:hint="eastAsia"/>
        </w:rPr>
        <w:t>[</w:t>
      </w:r>
      <w:r>
        <w:t>M</w:t>
      </w:r>
      <w:r>
        <w:rPr>
          <w:rFonts w:hint="eastAsia"/>
        </w:rPr>
        <w:t>]</w:t>
      </w:r>
      <w:r>
        <w:t>.</w:t>
      </w:r>
      <w:r>
        <w:t>北京</w:t>
      </w:r>
      <w:r>
        <w:rPr>
          <w:rFonts w:hint="eastAsia"/>
        </w:rPr>
        <w:t>：</w:t>
      </w:r>
      <w:r w:rsidRPr="00F40848">
        <w:rPr>
          <w:rFonts w:hint="eastAsia"/>
        </w:rPr>
        <w:t>人民出版社，</w:t>
      </w:r>
      <w:r w:rsidRPr="00F40848">
        <w:rPr>
          <w:rFonts w:hint="eastAsia"/>
        </w:rPr>
        <w:t>2015</w:t>
      </w:r>
      <w:r>
        <w:rPr>
          <w:rFonts w:hint="eastAsia"/>
        </w:rPr>
        <w:t>.</w:t>
      </w:r>
    </w:p>
  </w:footnote>
  <w:footnote w:id="4">
    <w:p w:rsidR="00703751" w:rsidRDefault="00703751" w:rsidP="00703751">
      <w:pPr>
        <w:pStyle w:val="a7"/>
      </w:pPr>
      <w:r>
        <w:rPr>
          <w:rStyle w:val="a9"/>
        </w:rPr>
        <w:footnoteRef/>
      </w:r>
      <w:r>
        <w:t xml:space="preserve"> </w:t>
      </w:r>
      <w:r>
        <w:t>按照不同城市进行发布</w:t>
      </w:r>
      <w:r>
        <w:rPr>
          <w:rFonts w:hint="eastAsia"/>
        </w:rPr>
        <w:t>，</w:t>
      </w:r>
      <w:r>
        <w:t>因此该指标可用于</w:t>
      </w:r>
      <w:r>
        <w:rPr>
          <w:rFonts w:hint="eastAsia"/>
        </w:rPr>
        <w:t>城市经济增长质量与效率监测预警。</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9C"/>
    <w:rsid w:val="00001D47"/>
    <w:rsid w:val="00035895"/>
    <w:rsid w:val="00056EEF"/>
    <w:rsid w:val="00062B42"/>
    <w:rsid w:val="000C0B05"/>
    <w:rsid w:val="00103067"/>
    <w:rsid w:val="001859F9"/>
    <w:rsid w:val="001950CC"/>
    <w:rsid w:val="001C357B"/>
    <w:rsid w:val="001D11D7"/>
    <w:rsid w:val="001E4E9C"/>
    <w:rsid w:val="00235BC7"/>
    <w:rsid w:val="0026541D"/>
    <w:rsid w:val="0028166C"/>
    <w:rsid w:val="00281A13"/>
    <w:rsid w:val="00296456"/>
    <w:rsid w:val="00297D25"/>
    <w:rsid w:val="002B15BA"/>
    <w:rsid w:val="002D4F83"/>
    <w:rsid w:val="002E360F"/>
    <w:rsid w:val="003579D1"/>
    <w:rsid w:val="00376139"/>
    <w:rsid w:val="003A2D02"/>
    <w:rsid w:val="004304C4"/>
    <w:rsid w:val="00434869"/>
    <w:rsid w:val="004857C5"/>
    <w:rsid w:val="00487F5F"/>
    <w:rsid w:val="004A18DB"/>
    <w:rsid w:val="004D5D38"/>
    <w:rsid w:val="005225E4"/>
    <w:rsid w:val="005407AE"/>
    <w:rsid w:val="00551D11"/>
    <w:rsid w:val="005B4BA4"/>
    <w:rsid w:val="005B675F"/>
    <w:rsid w:val="005E31DF"/>
    <w:rsid w:val="005F6F9C"/>
    <w:rsid w:val="00607191"/>
    <w:rsid w:val="006248E2"/>
    <w:rsid w:val="00627B44"/>
    <w:rsid w:val="00656D2D"/>
    <w:rsid w:val="00662921"/>
    <w:rsid w:val="006C5B11"/>
    <w:rsid w:val="006C5E76"/>
    <w:rsid w:val="006D5538"/>
    <w:rsid w:val="006D770E"/>
    <w:rsid w:val="00703751"/>
    <w:rsid w:val="00753F1C"/>
    <w:rsid w:val="007662CF"/>
    <w:rsid w:val="007667F5"/>
    <w:rsid w:val="00793856"/>
    <w:rsid w:val="007B5F8D"/>
    <w:rsid w:val="007D37DA"/>
    <w:rsid w:val="00823354"/>
    <w:rsid w:val="00826AF5"/>
    <w:rsid w:val="008334D5"/>
    <w:rsid w:val="008418F0"/>
    <w:rsid w:val="00854EAC"/>
    <w:rsid w:val="00882799"/>
    <w:rsid w:val="008A5745"/>
    <w:rsid w:val="008B17AB"/>
    <w:rsid w:val="008C0518"/>
    <w:rsid w:val="008C20D9"/>
    <w:rsid w:val="008D258D"/>
    <w:rsid w:val="009006C4"/>
    <w:rsid w:val="00933CBE"/>
    <w:rsid w:val="009469F2"/>
    <w:rsid w:val="00951C5A"/>
    <w:rsid w:val="00955C82"/>
    <w:rsid w:val="009A20FD"/>
    <w:rsid w:val="009B6DD1"/>
    <w:rsid w:val="009C7A42"/>
    <w:rsid w:val="00A26EFE"/>
    <w:rsid w:val="00A6341D"/>
    <w:rsid w:val="00A640BB"/>
    <w:rsid w:val="00AB5109"/>
    <w:rsid w:val="00AD224F"/>
    <w:rsid w:val="00B0156B"/>
    <w:rsid w:val="00B24948"/>
    <w:rsid w:val="00B5401F"/>
    <w:rsid w:val="00B81626"/>
    <w:rsid w:val="00B96701"/>
    <w:rsid w:val="00BC4EB3"/>
    <w:rsid w:val="00BF207F"/>
    <w:rsid w:val="00BF2C3B"/>
    <w:rsid w:val="00C06F90"/>
    <w:rsid w:val="00C35E87"/>
    <w:rsid w:val="00C4394A"/>
    <w:rsid w:val="00C833E5"/>
    <w:rsid w:val="00CC75EF"/>
    <w:rsid w:val="00CD7F80"/>
    <w:rsid w:val="00CE648E"/>
    <w:rsid w:val="00D127BE"/>
    <w:rsid w:val="00D259AA"/>
    <w:rsid w:val="00DA79A5"/>
    <w:rsid w:val="00DF2DB1"/>
    <w:rsid w:val="00E40B88"/>
    <w:rsid w:val="00E822EE"/>
    <w:rsid w:val="00E824E4"/>
    <w:rsid w:val="00EA14ED"/>
    <w:rsid w:val="00EE652F"/>
    <w:rsid w:val="00EE7974"/>
    <w:rsid w:val="00EF0D4E"/>
    <w:rsid w:val="00F05942"/>
    <w:rsid w:val="00F369BA"/>
    <w:rsid w:val="00F65A9C"/>
    <w:rsid w:val="00F745DB"/>
    <w:rsid w:val="00F86788"/>
    <w:rsid w:val="00FB1A60"/>
    <w:rsid w:val="00FB6376"/>
    <w:rsid w:val="00FF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461EB8-64E9-4D35-88A8-D8171285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6F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1D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1D11"/>
    <w:rPr>
      <w:rFonts w:ascii="Times New Roman" w:eastAsia="宋体" w:hAnsi="Times New Roman" w:cs="Times New Roman"/>
      <w:sz w:val="18"/>
      <w:szCs w:val="18"/>
    </w:rPr>
  </w:style>
  <w:style w:type="paragraph" w:styleId="a5">
    <w:name w:val="footer"/>
    <w:basedOn w:val="a"/>
    <w:link w:val="a6"/>
    <w:uiPriority w:val="99"/>
    <w:unhideWhenUsed/>
    <w:rsid w:val="00551D11"/>
    <w:pPr>
      <w:tabs>
        <w:tab w:val="center" w:pos="4153"/>
        <w:tab w:val="right" w:pos="8306"/>
      </w:tabs>
      <w:snapToGrid w:val="0"/>
      <w:jc w:val="left"/>
    </w:pPr>
    <w:rPr>
      <w:sz w:val="18"/>
      <w:szCs w:val="18"/>
    </w:rPr>
  </w:style>
  <w:style w:type="character" w:customStyle="1" w:styleId="a6">
    <w:name w:val="页脚 字符"/>
    <w:basedOn w:val="a0"/>
    <w:link w:val="a5"/>
    <w:uiPriority w:val="99"/>
    <w:rsid w:val="00551D11"/>
    <w:rPr>
      <w:rFonts w:ascii="Times New Roman" w:eastAsia="宋体" w:hAnsi="Times New Roman" w:cs="Times New Roman"/>
      <w:sz w:val="18"/>
      <w:szCs w:val="18"/>
    </w:rPr>
  </w:style>
  <w:style w:type="paragraph" w:styleId="a7">
    <w:name w:val="footnote text"/>
    <w:basedOn w:val="a"/>
    <w:link w:val="a8"/>
    <w:unhideWhenUsed/>
    <w:rsid w:val="00753F1C"/>
    <w:pPr>
      <w:snapToGrid w:val="0"/>
      <w:jc w:val="left"/>
    </w:pPr>
    <w:rPr>
      <w:sz w:val="18"/>
      <w:szCs w:val="18"/>
    </w:rPr>
  </w:style>
  <w:style w:type="character" w:customStyle="1" w:styleId="a8">
    <w:name w:val="脚注文本 字符"/>
    <w:basedOn w:val="a0"/>
    <w:link w:val="a7"/>
    <w:rsid w:val="00753F1C"/>
    <w:rPr>
      <w:rFonts w:ascii="Times New Roman" w:eastAsia="宋体" w:hAnsi="Times New Roman" w:cs="Times New Roman"/>
      <w:sz w:val="18"/>
      <w:szCs w:val="18"/>
    </w:rPr>
  </w:style>
  <w:style w:type="character" w:styleId="a9">
    <w:name w:val="footnote reference"/>
    <w:basedOn w:val="a0"/>
    <w:unhideWhenUsed/>
    <w:rsid w:val="00753F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173">
      <w:bodyDiv w:val="1"/>
      <w:marLeft w:val="0"/>
      <w:marRight w:val="0"/>
      <w:marTop w:val="0"/>
      <w:marBottom w:val="0"/>
      <w:divBdr>
        <w:top w:val="none" w:sz="0" w:space="0" w:color="auto"/>
        <w:left w:val="none" w:sz="0" w:space="0" w:color="auto"/>
        <w:bottom w:val="none" w:sz="0" w:space="0" w:color="auto"/>
        <w:right w:val="none" w:sz="0" w:space="0" w:color="auto"/>
      </w:divBdr>
    </w:div>
    <w:div w:id="129741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3EE6D-5179-437A-AD73-9612B7AFF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4</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Scanf</cp:lastModifiedBy>
  <cp:revision>27</cp:revision>
  <dcterms:created xsi:type="dcterms:W3CDTF">2017-07-02T07:11:00Z</dcterms:created>
  <dcterms:modified xsi:type="dcterms:W3CDTF">2017-08-12T04:36:00Z</dcterms:modified>
</cp:coreProperties>
</file>