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E6538">
      <w:pPr>
        <w:bidi w:val="0"/>
      </w:pPr>
      <w:r>
        <w:t>总体安全评估评分方法说明</w:t>
      </w:r>
      <w:bookmarkStart w:id="0" w:name="_GoBack"/>
      <w:bookmarkEnd w:id="0"/>
    </w:p>
    <w:p w14:paraId="40E3E314">
      <w:pPr>
        <w:bidi w:val="0"/>
      </w:pPr>
      <w:r>
        <w:t>程序版本 v1.8    说明日期 2026 年 10 月 18 日</w:t>
      </w:r>
    </w:p>
    <w:p w14:paraId="71C177DF">
      <w:pPr>
        <w:bidi w:val="0"/>
      </w:pPr>
      <w:r>
        <w:t>本说明介绍程序首页“总体安全评估”的计算过程。我们先把每个测点的应力换成百分制参考分，再给出平均分，并同时提示设备故障和单点风险。以下数字均对应“已确认评分表”。</w:t>
      </w:r>
    </w:p>
    <w:p w14:paraId="20084064">
      <w:pPr>
        <w:bidi w:val="0"/>
      </w:pPr>
      <w:r>
        <w:t>汇报说明：当前实现的是材料应力参考评分。82.4 是一种展示用平均值，不能直接解读为结构有 82.4% 的安全概率，也不是规范规定的安全鉴定等级。</w:t>
      </w:r>
    </w:p>
    <w:p w14:paraId="314865DD">
      <w:pPr>
        <w:bidi w:val="0"/>
      </w:pPr>
      <w:r>
        <w:t>一 页面上的四个数字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1701"/>
        <w:gridCol w:w="7937"/>
      </w:tblGrid>
      <w:tr w14:paraId="05B0B5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73F5F"/>
            <w:vAlign w:val="center"/>
          </w:tcPr>
          <w:p w14:paraId="0955215E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页面数字</w:t>
            </w:r>
          </w:p>
        </w:tc>
        <w:tc>
          <w:tcPr>
            <w:tcW w:w="7937" w:type="dxa"/>
            <w:shd w:val="clear" w:color="auto" w:fill="173F5F"/>
            <w:vAlign w:val="center"/>
          </w:tcPr>
          <w:p w14:paraId="459B6844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它在说明什么</w:t>
            </w:r>
          </w:p>
        </w:tc>
      </w:tr>
      <w:tr w14:paraId="5EF5E9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6E1245D">
            <w:pPr>
              <w:bidi w:val="0"/>
            </w:pPr>
            <w:r>
              <w:t>82.4 分</w:t>
            </w:r>
          </w:p>
        </w:tc>
        <w:tc>
          <w:tcPr>
            <w:tcW w:w="7937" w:type="dxa"/>
            <w:shd w:val="clear" w:color="auto" w:fill="FFFFFF"/>
            <w:vAlign w:val="center"/>
          </w:tcPr>
          <w:p w14:paraId="112C230B">
            <w:pPr>
              <w:bidi w:val="0"/>
            </w:pPr>
            <w:r>
              <w:t>首页平均参考分：保留原表 9 个测点的映射值，包含 S1 原映射 0 分。</w:t>
            </w:r>
          </w:p>
        </w:tc>
      </w:tr>
      <w:tr w14:paraId="188981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2F6FA"/>
            <w:vAlign w:val="center"/>
          </w:tcPr>
          <w:p w14:paraId="33CF2C90">
            <w:pPr>
              <w:bidi w:val="0"/>
            </w:pPr>
            <w:r>
              <w:t>92.7 分</w:t>
            </w:r>
          </w:p>
        </w:tc>
        <w:tc>
          <w:tcPr>
            <w:tcW w:w="7937" w:type="dxa"/>
            <w:shd w:val="clear" w:color="auto" w:fill="F2F6FA"/>
            <w:vAlign w:val="center"/>
          </w:tcPr>
          <w:p w14:paraId="7C44A4DA">
            <w:pPr>
              <w:bidi w:val="0"/>
            </w:pPr>
            <w:r>
              <w:t>有效测点均分：剔除损坏的 S1，只平均其余 8 个测点。</w:t>
            </w:r>
          </w:p>
        </w:tc>
      </w:tr>
      <w:tr w14:paraId="7A7825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6920534">
            <w:pPr>
              <w:bidi w:val="0"/>
            </w:pPr>
            <w:r>
              <w:t>8 / 9</w:t>
            </w:r>
          </w:p>
        </w:tc>
        <w:tc>
          <w:tcPr>
            <w:tcW w:w="7937" w:type="dxa"/>
            <w:shd w:val="clear" w:color="auto" w:fill="FFFFFF"/>
            <w:vAlign w:val="center"/>
          </w:tcPr>
          <w:p w14:paraId="0150BE83">
            <w:pPr>
              <w:bidi w:val="0"/>
            </w:pPr>
            <w:r>
              <w:t>本组 9 个已纳入测点中，有 8 个可参与当前有效评分。S4 未纳入本组。</w:t>
            </w:r>
          </w:p>
        </w:tc>
      </w:tr>
      <w:tr w14:paraId="637F3B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2F6FA"/>
            <w:vAlign w:val="center"/>
          </w:tcPr>
          <w:p w14:paraId="4EB1CA5E">
            <w:pPr>
              <w:bidi w:val="0"/>
            </w:pPr>
            <w:r>
              <w:t>2 项</w:t>
            </w:r>
          </w:p>
        </w:tc>
        <w:tc>
          <w:tcPr>
            <w:tcW w:w="7937" w:type="dxa"/>
            <w:shd w:val="clear" w:color="auto" w:fill="F2F6FA"/>
            <w:vAlign w:val="center"/>
          </w:tcPr>
          <w:p w14:paraId="2DDEB412">
            <w:pPr>
              <w:bidi w:val="0"/>
            </w:pPr>
            <w:r>
              <w:t>待复核风险：S1 传感器损坏，加上 S2 应力关注；按测点计数。</w:t>
            </w:r>
          </w:p>
        </w:tc>
      </w:tr>
    </w:tbl>
    <w:p w14:paraId="3E018BB6">
      <w:pPr>
        <w:bidi w:val="0"/>
      </w:pPr>
    </w:p>
    <w:p w14:paraId="0D9F1ECD">
      <w:pPr>
        <w:bidi w:val="0"/>
      </w:pPr>
      <w:r>
        <w:t>二 分数需要哪些输入</w:t>
      </w:r>
    </w:p>
    <w:p w14:paraId="671F7939">
      <w:pPr>
        <w:bidi w:val="0"/>
      </w:pPr>
      <w:r>
        <w:t>1 安装时已经存在的应力</w:t>
      </w:r>
    </w:p>
    <w:p w14:paraId="51785E60">
      <w:pPr>
        <w:bidi w:val="0"/>
      </w:pPr>
      <w:r>
        <w:t>传感器安装时，钢结构已经承受自重等作用，并不是从“完全不受力”开始。程序把 CS18 施工阶段对应位置、对应方向的理论应力作为安装初值，记为 σ₀。它来自项目计算结果，不是规范统一给出的常数。</w:t>
      </w:r>
    </w:p>
    <w:p w14:paraId="29BC6A25">
      <w:pPr>
        <w:bidi w:val="0"/>
      </w:pPr>
      <w:r>
        <w:t>2 安装以后增加或减少了多少</w:t>
      </w:r>
    </w:p>
    <w:p w14:paraId="2A832319">
      <w:pPr>
        <w:bidi w:val="0"/>
      </w:pPr>
      <w:r>
        <w:t>确认表中的“实测应力”已由项目确认是扣除安装读数后的变化量，记为 Δσ。两个量必须来自同一位置、同一方向，并采用一致的符号和单位；S7、S8 的同向表面应力对应关系已经确认。</w:t>
      </w:r>
    </w:p>
    <w:p w14:paraId="711B4FC0">
      <w:pPr>
        <w:bidi w:val="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σ = 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+ Δσ</m:t>
          </m:r>
        </m:oMath>
      </m:oMathPara>
    </w:p>
    <w:p w14:paraId="09D5E9C5">
      <w:pPr>
        <w:bidi w:val="0"/>
      </w:pPr>
      <w:r>
        <w:t>这一步先按正负号相加，再取绝对值比较。以 S2 为例，−171 加上 +7.4271 得到 −163.5729。负值的绝对值变小，表示按原表符号约定的受压程度减轻；不能把两项先各自取绝对值再相加。</w:t>
      </w:r>
    </w:p>
    <w:p w14:paraId="7578A9DF">
      <w:pPr>
        <w:bidi w:val="0"/>
      </w:pPr>
      <w:r>
        <w:t>3 材料用什么刻度比较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1701"/>
        <w:gridCol w:w="5669"/>
        <w:gridCol w:w="2268"/>
      </w:tblGrid>
      <w:tr w14:paraId="3C124F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1701" w:type="dxa"/>
            <w:shd w:val="clear" w:color="auto" w:fill="173F5F"/>
            <w:vAlign w:val="center"/>
          </w:tcPr>
          <w:p w14:paraId="51796221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模型材料</w:t>
            </w:r>
          </w:p>
        </w:tc>
        <w:tc>
          <w:tcPr>
            <w:tcW w:w="5669" w:type="dxa"/>
            <w:shd w:val="clear" w:color="auto" w:fill="173F5F"/>
            <w:vAlign w:val="center"/>
          </w:tcPr>
          <w:p w14:paraId="52F2FB4C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本组对应测点</w:t>
            </w:r>
          </w:p>
        </w:tc>
        <w:tc>
          <w:tcPr>
            <w:tcW w:w="2268" w:type="dxa"/>
            <w:shd w:val="clear" w:color="auto" w:fill="173F5F"/>
            <w:vAlign w:val="center"/>
          </w:tcPr>
          <w:p w14:paraId="1F9DC2A5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材料基准 f</w:t>
            </w:r>
          </w:p>
        </w:tc>
      </w:tr>
      <w:tr w14:paraId="4D6B2B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80004C7">
            <w:pPr>
              <w:bidi w:val="0"/>
            </w:pPr>
            <w:r>
              <w:t>Q235B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AFD71B3">
            <w:pPr>
              <w:bidi w:val="0"/>
            </w:pPr>
            <w:r>
              <w:t>S1 S2 S3 S5 S6 S7 S8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FC65D49">
            <w:pPr>
              <w:bidi w:val="0"/>
            </w:pPr>
            <w:r>
              <w:t>215 MPa</w:t>
            </w:r>
          </w:p>
        </w:tc>
      </w:tr>
      <w:tr w14:paraId="0CAB30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2F6FA"/>
            <w:vAlign w:val="center"/>
          </w:tcPr>
          <w:p w14:paraId="7573656E">
            <w:pPr>
              <w:bidi w:val="0"/>
            </w:pPr>
            <w:r>
              <w:t>Q355B</w:t>
            </w:r>
          </w:p>
        </w:tc>
        <w:tc>
          <w:tcPr>
            <w:tcW w:w="5669" w:type="dxa"/>
            <w:shd w:val="clear" w:color="auto" w:fill="F2F6FA"/>
            <w:vAlign w:val="center"/>
          </w:tcPr>
          <w:p w14:paraId="03C6455A">
            <w:pPr>
              <w:bidi w:val="0"/>
            </w:pPr>
            <w:r>
              <w:t>S9 S10</w:t>
            </w:r>
          </w:p>
        </w:tc>
        <w:tc>
          <w:tcPr>
            <w:tcW w:w="2268" w:type="dxa"/>
            <w:shd w:val="clear" w:color="auto" w:fill="F2F6FA"/>
            <w:vAlign w:val="center"/>
          </w:tcPr>
          <w:p w14:paraId="009384AB">
            <w:pPr>
              <w:bidi w:val="0"/>
            </w:pPr>
            <w:r>
              <w:t>305 MPa</w:t>
            </w:r>
          </w:p>
        </w:tc>
      </w:tr>
    </w:tbl>
    <w:p w14:paraId="07A59F74">
      <w:pPr>
        <w:bidi w:val="0"/>
      </w:pPr>
    </w:p>
    <w:p w14:paraId="653D5867">
      <w:pPr>
        <w:bidi w:val="0"/>
      </w:pPr>
      <w:r>
        <w:t>这里取钢材抗拉、抗压和抗弯的强度设计值，参考 GB 55006—2021 第 3.0.3 条及其条文说明表 2［1］。本组模型管壁厚度为 3.75、4、6 mm，处在表中厚度不大于 16 mm 的档位。正式应用仍需核对管材类型、产品标准和材质证明。</w:t>
      </w:r>
    </w:p>
    <w:p w14:paraId="596C0E87">
      <w:pPr>
        <w:bidi w:val="0"/>
      </w:pPr>
      <w:r>
        <w:t>Q235 中的 235 对应屈服强度级别，不能直接把它当成本程序的 215 MPa 材料设计基准。此处材料刻度也不是已经核定的现场报警限值。</w:t>
      </w:r>
    </w:p>
    <w:p w14:paraId="6DC62590">
      <w:pPr>
        <w:bidi w:val="0"/>
      </w:pPr>
      <w:r>
        <w:t>如果切换到最新监测记录</w:t>
      </w:r>
    </w:p>
    <w:p w14:paraId="420B822E">
      <w:pPr>
        <w:bidi w:val="0"/>
      </w:pPr>
      <w:r>
        <w:t>工作簿首先提供应变，即材料伸长或缩短的比例。程序使用温度修正后的应变，在弹性假设下换算应力增量；若应变以微应变 με 计，每 1 με 对应 0.206 MPa。</w:t>
      </w:r>
    </w:p>
    <w:p w14:paraId="2F5334AE">
      <w:pPr>
        <w:bidi w:val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Δσ = 0.206 × Δε  MPa</m:t>
          </m:r>
        </m:oMath>
      </m:oMathPara>
    </w:p>
    <w:p w14:paraId="13EC2A62">
      <w:pPr>
        <w:bidi w:val="0"/>
      </w:pPr>
      <w:r>
        <w:t>换算取 E = 206000 MPa，依据 GB 50017—2017 第 4.4.8 条及表 4.4.8［2］；Δε 在上式中用 με 数值。温度修正沿用原工作簿的 0.2 系数和各点基准温度，属于项目数据处理参数，不能标为规范统一系数。</w:t>
      </w:r>
    </w:p>
    <w:p w14:paraId="3A332068">
      <w:pPr>
        <w:bidi w:val="0"/>
      </w:pPr>
      <w:r>
        <w:t>确认表与工作簿是两套独立来源。工作簿选各测点最新一条记录；缺值留空，不补零、不自动退回较早有效值。各点采样时间可能不同，原确认表没有采样时刻。</w:t>
      </w:r>
    </w:p>
    <w:p w14:paraId="30064B56">
      <w:pPr>
        <w:bidi w:val="0"/>
      </w:pPr>
      <w:r>
        <w:t>三 每个测点怎样从应力变成分数</w:t>
      </w:r>
    </w:p>
    <w:p w14:paraId="30F21C02">
      <w:pPr>
        <w:bidi w:val="0"/>
      </w:pPr>
      <w:r>
        <w:t>第一步 把应力换成占用比</w:t>
      </w:r>
    </w:p>
    <w:p w14:paraId="20D8C30A">
      <w:pPr>
        <w:bidi w:val="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r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|σ|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3FB1F076">
      <w:pPr>
        <w:bidi w:val="0"/>
      </w:pPr>
      <w:r>
        <w:t>r 表示“这个测点应力的绝对值，是材料参考刻度的多少”。例如 r = 0.70，就是 70%。r 越大，当前评分规则给的分数越低。它不是经过稳定、连接等完整验算的全结构承载力利用系数。</w:t>
      </w:r>
    </w:p>
    <w:p w14:paraId="686BE808">
      <w:pPr>
        <w:bidi w:val="0"/>
      </w:pPr>
      <w:r>
        <w:t>第二步 按项目规则换成百分制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2324"/>
        <w:gridCol w:w="2835"/>
        <w:gridCol w:w="4479"/>
      </w:tblGrid>
      <w:tr w14:paraId="179E8A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173F5F"/>
            <w:vAlign w:val="center"/>
          </w:tcPr>
          <w:p w14:paraId="13B7C823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应力占用比 r</w:t>
            </w:r>
          </w:p>
        </w:tc>
        <w:tc>
          <w:tcPr>
            <w:tcW w:w="2835" w:type="dxa"/>
            <w:shd w:val="clear" w:color="auto" w:fill="173F5F"/>
            <w:vAlign w:val="center"/>
          </w:tcPr>
          <w:p w14:paraId="21B53D62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单点分数 S</w:t>
            </w:r>
          </w:p>
        </w:tc>
        <w:tc>
          <w:tcPr>
            <w:tcW w:w="4479" w:type="dxa"/>
            <w:shd w:val="clear" w:color="auto" w:fill="173F5F"/>
            <w:vAlign w:val="center"/>
          </w:tcPr>
          <w:p w14:paraId="0AD9FA1B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通俗理解</w:t>
            </w:r>
          </w:p>
        </w:tc>
      </w:tr>
      <w:tr w14:paraId="44D8A9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4EFEA3F">
            <w:pPr>
              <w:bidi w:val="0"/>
            </w:pPr>
            <w:r>
              <w:t>0 ≤ r ≤ 0.50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7791DF6">
            <w:pPr>
              <w:bidi w:val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 = 100</m:t>
                </m:r>
              </m:oMath>
            </m:oMathPara>
          </w:p>
        </w:tc>
        <w:tc>
          <w:tcPr>
            <w:tcW w:w="4479" w:type="dxa"/>
            <w:shd w:val="clear" w:color="auto" w:fill="FFFFFF"/>
            <w:vAlign w:val="center"/>
          </w:tcPr>
          <w:p w14:paraId="47EC1AC6">
            <w:pPr>
              <w:bidi w:val="0"/>
            </w:pPr>
            <w:r>
              <w:t>不超过一半，记 100 分</w:t>
            </w:r>
          </w:p>
        </w:tc>
      </w:tr>
      <w:tr w14:paraId="0E3209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2F6FA"/>
            <w:vAlign w:val="center"/>
          </w:tcPr>
          <w:p w14:paraId="3BE50E61">
            <w:pPr>
              <w:bidi w:val="0"/>
            </w:pPr>
            <w:r>
              <w:t>0.50 &lt; r ≤ 0.90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0283739A">
            <w:pPr>
              <w:bidi w:val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 = 150 − 100r</m:t>
                </m:r>
              </m:oMath>
            </m:oMathPara>
          </w:p>
        </w:tc>
        <w:tc>
          <w:tcPr>
            <w:tcW w:w="4479" w:type="dxa"/>
            <w:shd w:val="clear" w:color="auto" w:fill="F2F6FA"/>
            <w:vAlign w:val="center"/>
          </w:tcPr>
          <w:p w14:paraId="7FD08772">
            <w:pPr>
              <w:bidi w:val="0"/>
            </w:pPr>
            <w:r>
              <w:t>每增加 1 个百分点，扣 1 分</w:t>
            </w:r>
          </w:p>
        </w:tc>
      </w:tr>
      <w:tr w14:paraId="55C92A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6A3B71A3">
            <w:pPr>
              <w:bidi w:val="0"/>
            </w:pPr>
            <w:r>
              <w:t>0.90 &lt; r &lt; 1.00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715567D">
            <w:pPr>
              <w:bidi w:val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 = 600(1 − r)</m:t>
                </m:r>
              </m:oMath>
            </m:oMathPara>
          </w:p>
        </w:tc>
        <w:tc>
          <w:tcPr>
            <w:tcW w:w="4479" w:type="dxa"/>
            <w:shd w:val="clear" w:color="auto" w:fill="FFFFFF"/>
            <w:vAlign w:val="center"/>
          </w:tcPr>
          <w:p w14:paraId="4D7F02CB">
            <w:pPr>
              <w:bidi w:val="0"/>
            </w:pPr>
            <w:r>
              <w:t>每增加 1 个百分点，扣 6 分</w:t>
            </w:r>
          </w:p>
        </w:tc>
      </w:tr>
      <w:tr w14:paraId="2CF39E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2F6FA"/>
            <w:vAlign w:val="center"/>
          </w:tcPr>
          <w:p w14:paraId="01005E9D">
            <w:pPr>
              <w:bidi w:val="0"/>
            </w:pPr>
            <w:r>
              <w:t>r ≥ 1.00</w:t>
            </w:r>
          </w:p>
        </w:tc>
        <w:tc>
          <w:tcPr>
            <w:tcW w:w="2835" w:type="dxa"/>
            <w:shd w:val="clear" w:color="auto" w:fill="F2F6FA"/>
            <w:vAlign w:val="center"/>
          </w:tcPr>
          <w:p w14:paraId="3B152DC4">
            <w:pPr>
              <w:bidi w:val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 = 0</m:t>
                </m:r>
              </m:oMath>
            </m:oMathPara>
          </w:p>
        </w:tc>
        <w:tc>
          <w:tcPr>
            <w:tcW w:w="4479" w:type="dxa"/>
            <w:shd w:val="clear" w:color="auto" w:fill="F2F6FA"/>
            <w:vAlign w:val="center"/>
          </w:tcPr>
          <w:p w14:paraId="733BFD00">
            <w:pPr>
              <w:bidi w:val="0"/>
            </w:pPr>
            <w:r>
              <w:t>达到或超过材料基准，保留原值待核验</w:t>
            </w:r>
          </w:p>
        </w:tc>
      </w:tr>
    </w:tbl>
    <w:p w14:paraId="4546A335">
      <w:pPr>
        <w:bidi w:val="0"/>
      </w:pPr>
    </w:p>
    <w:p w14:paraId="337770A6">
      <w:pPr>
        <w:bidi w:val="0"/>
      </w:pPr>
      <w:r>
        <w:t>这是程序采用的项目暂定映射，不是国家规范给出的健康评分公式。锚点依次为：50% → 100 分，70% → 80 分，90% → 60 分，100% → 0 分；公式中的 r 必须用 0.70 等小数，不能直接代入 70。</w:t>
      </w:r>
    </w:p>
    <w:p w14:paraId="09562981">
      <w:pPr>
        <w:bidi w:val="0"/>
      </w:pPr>
      <w:r>
        <w:t>照着 S2 完整算一遍</w:t>
      </w:r>
    </w:p>
    <w:p w14:paraId="5B13BB78">
      <w:pPr>
        <w:bidi w:val="0"/>
      </w:pPr>
      <w:r>
        <w:t>S2 对应 E5545 单元 J 端，钢材 Q235B。已知安装初值 −171 MPa，安装后变化量 +7.4271 MPa，材料基准 215 MPa。</w:t>
      </w:r>
    </w:p>
    <w:p w14:paraId="33B384D3">
      <w:pPr>
        <w:bidi w:val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σ = −171 + 7.4271 = −163.5729  MPa</m:t>
          </m:r>
        </m:oMath>
      </m:oMathPara>
    </w:p>
    <w:p w14:paraId="1B25D653">
      <w:pPr>
        <w:bidi w:val="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r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163.5729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0.760804… ≈ 76.08%</m:t>
          </m:r>
        </m:oMath>
      </m:oMathPara>
    </w:p>
    <w:p w14:paraId="0A5BB827">
      <w:pPr>
        <w:bidi w:val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S = 150 − 100 × 0.760804… = 73.91958… ≈ 73.9</m:t>
          </m:r>
        </m:oMath>
      </m:oMathPara>
    </w:p>
    <w:p w14:paraId="5CA7E3EA">
      <w:pPr>
        <w:bidi w:val="0"/>
      </w:pPr>
      <w:r>
        <w:t>因为 76.08% 处于 50%～90% 的中段，所以用第二行公式；又因为它超过 70%，页面把 S2 标为“关注”。分数和状态来自同一个 r，但各自表达不同的信息。</w:t>
      </w:r>
    </w:p>
    <w:p w14:paraId="50D55CF5">
      <w:pPr>
        <w:bidi w:val="0"/>
      </w:pPr>
      <w:r>
        <w:t>为什么要设计两段扣分速度</w:t>
      </w:r>
    </w:p>
    <w:p w14:paraId="51BEF643">
      <w:pPr>
        <w:bidi w:val="0"/>
      </w:pPr>
      <w:r>
        <w:t>当前方案希望接近材料基准时，分数更快下降。因此 90% 以后每增加 1 个百分点扣 6 分。这是一种便于展示和筛查的设计选择，还需要通过工程数据验证其分界和敏感程度。</w:t>
      </w:r>
    </w:p>
    <w:p w14:paraId="7FCF62DF">
      <w:pPr>
        <w:bidi w:val="0"/>
      </w:pPr>
      <w:r>
        <w:t>边界按代码执行：r = 70% 时仍为“占用较低”，大于 70% 才“关注”；r = 90% 为 60 分且仍属“关注”，大于 90% 才“预警”；r ≥ 100% 为“超限待核验”。</w:t>
      </w:r>
    </w:p>
    <w:p w14:paraId="738D8845">
      <w:pPr>
        <w:bidi w:val="0"/>
      </w:pPr>
      <w:r>
        <w:t>四 首页平均参考分怎样得到</w:t>
      </w:r>
    </w:p>
    <w:p w14:paraId="2FF6E08D">
      <w:pPr>
        <w:bidi w:val="0"/>
      </w:pPr>
      <w:r>
        <w:t>下面逐项复算当前确认表。所有应力单位均为 MPa，应力占用比显示百分数；分数显示到 1 位小数。程序使用未舍入的结果求平均，最后再四舍五入。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624"/>
        <w:gridCol w:w="1219"/>
        <w:gridCol w:w="1531"/>
        <w:gridCol w:w="1531"/>
        <w:gridCol w:w="935"/>
        <w:gridCol w:w="1332"/>
        <w:gridCol w:w="1332"/>
      </w:tblGrid>
      <w:tr w14:paraId="08D356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73F5F"/>
            <w:vAlign w:val="center"/>
          </w:tcPr>
          <w:p w14:paraId="609A6C89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测点</w:t>
            </w:r>
          </w:p>
        </w:tc>
        <w:tc>
          <w:tcPr>
            <w:tcW w:w="1219" w:type="dxa"/>
            <w:shd w:val="clear" w:color="auto" w:fill="173F5F"/>
            <w:vAlign w:val="center"/>
          </w:tcPr>
          <w:p w14:paraId="2A9D82E6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CS18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初始应力</w:t>
            </w:r>
          </w:p>
        </w:tc>
        <w:tc>
          <w:tcPr>
            <w:tcW w:w="1531" w:type="dxa"/>
            <w:shd w:val="clear" w:color="auto" w:fill="173F5F"/>
            <w:vAlign w:val="center"/>
          </w:tcPr>
          <w:p w14:paraId="00044555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安装后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应力增量</w:t>
            </w:r>
          </w:p>
        </w:tc>
        <w:tc>
          <w:tcPr>
            <w:tcW w:w="1531" w:type="dxa"/>
            <w:shd w:val="clear" w:color="auto" w:fill="173F5F"/>
            <w:vAlign w:val="center"/>
          </w:tcPr>
          <w:p w14:paraId="2A8E0E6E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相加后的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估计总应力</w:t>
            </w:r>
          </w:p>
        </w:tc>
        <w:tc>
          <w:tcPr>
            <w:tcW w:w="935" w:type="dxa"/>
            <w:shd w:val="clear" w:color="auto" w:fill="173F5F"/>
            <w:vAlign w:val="center"/>
          </w:tcPr>
          <w:p w14:paraId="2A99A39E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材料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基准 f</w:t>
            </w:r>
          </w:p>
        </w:tc>
        <w:tc>
          <w:tcPr>
            <w:tcW w:w="1332" w:type="dxa"/>
            <w:shd w:val="clear" w:color="auto" w:fill="173F5F"/>
            <w:vAlign w:val="center"/>
          </w:tcPr>
          <w:p w14:paraId="5A8E9AC3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应力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占用比</w:t>
            </w:r>
          </w:p>
        </w:tc>
        <w:tc>
          <w:tcPr>
            <w:tcW w:w="1332" w:type="dxa"/>
            <w:shd w:val="clear" w:color="auto" w:fill="173F5F"/>
            <w:vAlign w:val="center"/>
          </w:tcPr>
          <w:p w14:paraId="0BDD9443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原映射</w:t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参考分</w:t>
            </w:r>
          </w:p>
        </w:tc>
      </w:tr>
      <w:tr w14:paraId="44C2D2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FFFFF"/>
            <w:vAlign w:val="center"/>
          </w:tcPr>
          <w:p w14:paraId="4A85E4FF">
            <w:pPr>
              <w:bidi w:val="0"/>
            </w:pPr>
            <w:r>
              <w:t>S1＊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18FBDB4C">
            <w:pPr>
              <w:bidi w:val="0"/>
            </w:pPr>
            <w:r>
              <w:t>-179.0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3AED6A7">
            <w:pPr>
              <w:bidi w:val="0"/>
            </w:pPr>
            <w:r>
              <w:t>-292.7882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A328095">
            <w:pPr>
              <w:bidi w:val="0"/>
            </w:pPr>
            <w:r>
              <w:t>-471.7882</w:t>
            </w:r>
          </w:p>
        </w:tc>
        <w:tc>
          <w:tcPr>
            <w:tcW w:w="935" w:type="dxa"/>
            <w:shd w:val="clear" w:color="auto" w:fill="FFFFFF"/>
            <w:vAlign w:val="center"/>
          </w:tcPr>
          <w:p w14:paraId="7435014E">
            <w:pPr>
              <w:bidi w:val="0"/>
            </w:pPr>
            <w:r>
              <w:t>215</w:t>
            </w:r>
          </w:p>
        </w:tc>
        <w:tc>
          <w:tcPr>
            <w:tcW w:w="1332" w:type="dxa"/>
            <w:shd w:val="clear" w:color="auto" w:fill="FFFFFF"/>
            <w:vAlign w:val="center"/>
          </w:tcPr>
          <w:p w14:paraId="69C0FDE9">
            <w:pPr>
              <w:bidi w:val="0"/>
            </w:pPr>
            <w:r>
              <w:t>219.44%</w:t>
            </w:r>
          </w:p>
        </w:tc>
        <w:tc>
          <w:tcPr>
            <w:tcW w:w="1332" w:type="dxa"/>
            <w:shd w:val="clear" w:color="auto" w:fill="FFFFFF"/>
            <w:vAlign w:val="center"/>
          </w:tcPr>
          <w:p w14:paraId="25CCCF40">
            <w:pPr>
              <w:bidi w:val="0"/>
            </w:pPr>
            <w:r>
              <w:t>0.0</w:t>
            </w:r>
          </w:p>
        </w:tc>
      </w:tr>
      <w:tr w14:paraId="603C41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6FA"/>
            <w:vAlign w:val="center"/>
          </w:tcPr>
          <w:p w14:paraId="49256070">
            <w:pPr>
              <w:bidi w:val="0"/>
            </w:pPr>
            <w:r>
              <w:t>S2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27FAA40D">
            <w:pPr>
              <w:bidi w:val="0"/>
            </w:pPr>
            <w:r>
              <w:t>-171.0</w:t>
            </w:r>
          </w:p>
        </w:tc>
        <w:tc>
          <w:tcPr>
            <w:tcW w:w="1531" w:type="dxa"/>
            <w:shd w:val="clear" w:color="auto" w:fill="F2F6FA"/>
            <w:vAlign w:val="center"/>
          </w:tcPr>
          <w:p w14:paraId="30877DF2">
            <w:pPr>
              <w:bidi w:val="0"/>
            </w:pPr>
            <w:r>
              <w:t>7.4271</w:t>
            </w:r>
          </w:p>
        </w:tc>
        <w:tc>
          <w:tcPr>
            <w:tcW w:w="1531" w:type="dxa"/>
            <w:shd w:val="clear" w:color="auto" w:fill="F2F6FA"/>
            <w:vAlign w:val="center"/>
          </w:tcPr>
          <w:p w14:paraId="7E86FE1A">
            <w:pPr>
              <w:bidi w:val="0"/>
            </w:pPr>
            <w:r>
              <w:t>-163.5729</w:t>
            </w:r>
          </w:p>
        </w:tc>
        <w:tc>
          <w:tcPr>
            <w:tcW w:w="935" w:type="dxa"/>
            <w:shd w:val="clear" w:color="auto" w:fill="F2F6FA"/>
            <w:vAlign w:val="center"/>
          </w:tcPr>
          <w:p w14:paraId="26677417">
            <w:pPr>
              <w:bidi w:val="0"/>
            </w:pPr>
            <w:r>
              <w:t>215</w:t>
            </w:r>
          </w:p>
        </w:tc>
        <w:tc>
          <w:tcPr>
            <w:tcW w:w="1332" w:type="dxa"/>
            <w:shd w:val="clear" w:color="auto" w:fill="F2F6FA"/>
            <w:vAlign w:val="center"/>
          </w:tcPr>
          <w:p w14:paraId="685E1CB1">
            <w:pPr>
              <w:bidi w:val="0"/>
            </w:pPr>
            <w:r>
              <w:t>76.08%</w:t>
            </w:r>
          </w:p>
        </w:tc>
        <w:tc>
          <w:tcPr>
            <w:tcW w:w="1332" w:type="dxa"/>
            <w:shd w:val="clear" w:color="auto" w:fill="F2F6FA"/>
            <w:vAlign w:val="center"/>
          </w:tcPr>
          <w:p w14:paraId="0CE67824">
            <w:pPr>
              <w:bidi w:val="0"/>
            </w:pPr>
            <w:r>
              <w:t>73.9</w:t>
            </w:r>
          </w:p>
        </w:tc>
      </w:tr>
      <w:tr w14:paraId="6CF8DE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FFFFF"/>
            <w:vAlign w:val="center"/>
          </w:tcPr>
          <w:p w14:paraId="2E177732">
            <w:pPr>
              <w:bidi w:val="0"/>
            </w:pPr>
            <w:r>
              <w:t>S3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06C8594D">
            <w:pPr>
              <w:bidi w:val="0"/>
            </w:pPr>
            <w:r>
              <w:t>132.0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6029FAF">
            <w:pPr>
              <w:bidi w:val="0"/>
            </w:pPr>
            <w:r>
              <w:t>-13.5230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A2CD766">
            <w:pPr>
              <w:bidi w:val="0"/>
            </w:pPr>
            <w:r>
              <w:t>118.4770</w:t>
            </w:r>
          </w:p>
        </w:tc>
        <w:tc>
          <w:tcPr>
            <w:tcW w:w="935" w:type="dxa"/>
            <w:shd w:val="clear" w:color="auto" w:fill="FFFFFF"/>
            <w:vAlign w:val="center"/>
          </w:tcPr>
          <w:p w14:paraId="6E058FD5">
            <w:pPr>
              <w:bidi w:val="0"/>
            </w:pPr>
            <w:r>
              <w:t>215</w:t>
            </w:r>
          </w:p>
        </w:tc>
        <w:tc>
          <w:tcPr>
            <w:tcW w:w="1332" w:type="dxa"/>
            <w:shd w:val="clear" w:color="auto" w:fill="FFFFFF"/>
            <w:vAlign w:val="center"/>
          </w:tcPr>
          <w:p w14:paraId="1923DF15">
            <w:pPr>
              <w:bidi w:val="0"/>
            </w:pPr>
            <w:r>
              <w:t>55.11%</w:t>
            </w:r>
          </w:p>
        </w:tc>
        <w:tc>
          <w:tcPr>
            <w:tcW w:w="1332" w:type="dxa"/>
            <w:shd w:val="clear" w:color="auto" w:fill="FFFFFF"/>
            <w:vAlign w:val="center"/>
          </w:tcPr>
          <w:p w14:paraId="2C1A0544">
            <w:pPr>
              <w:bidi w:val="0"/>
            </w:pPr>
            <w:r>
              <w:t>94.9</w:t>
            </w:r>
          </w:p>
        </w:tc>
      </w:tr>
      <w:tr w14:paraId="2510C6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6FA"/>
            <w:vAlign w:val="center"/>
          </w:tcPr>
          <w:p w14:paraId="6575D77C">
            <w:pPr>
              <w:bidi w:val="0"/>
            </w:pPr>
            <w:r>
              <w:t>S5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144CBDF5">
            <w:pPr>
              <w:bidi w:val="0"/>
            </w:pPr>
            <w:r>
              <w:t>130.0</w:t>
            </w:r>
          </w:p>
        </w:tc>
        <w:tc>
          <w:tcPr>
            <w:tcW w:w="1531" w:type="dxa"/>
            <w:shd w:val="clear" w:color="auto" w:fill="F2F6FA"/>
            <w:vAlign w:val="center"/>
          </w:tcPr>
          <w:p w14:paraId="6A2C6D6E">
            <w:pPr>
              <w:bidi w:val="0"/>
            </w:pPr>
            <w:r>
              <w:t>7.5797</w:t>
            </w:r>
          </w:p>
        </w:tc>
        <w:tc>
          <w:tcPr>
            <w:tcW w:w="1531" w:type="dxa"/>
            <w:shd w:val="clear" w:color="auto" w:fill="F2F6FA"/>
            <w:vAlign w:val="center"/>
          </w:tcPr>
          <w:p w14:paraId="28281246">
            <w:pPr>
              <w:bidi w:val="0"/>
            </w:pPr>
            <w:r>
              <w:t>137.5797</w:t>
            </w:r>
          </w:p>
        </w:tc>
        <w:tc>
          <w:tcPr>
            <w:tcW w:w="935" w:type="dxa"/>
            <w:shd w:val="clear" w:color="auto" w:fill="F2F6FA"/>
            <w:vAlign w:val="center"/>
          </w:tcPr>
          <w:p w14:paraId="70A3CC1F">
            <w:pPr>
              <w:bidi w:val="0"/>
            </w:pPr>
            <w:r>
              <w:t>215</w:t>
            </w:r>
          </w:p>
        </w:tc>
        <w:tc>
          <w:tcPr>
            <w:tcW w:w="1332" w:type="dxa"/>
            <w:shd w:val="clear" w:color="auto" w:fill="F2F6FA"/>
            <w:vAlign w:val="center"/>
          </w:tcPr>
          <w:p w14:paraId="311B41C2">
            <w:pPr>
              <w:bidi w:val="0"/>
            </w:pPr>
            <w:r>
              <w:t>63.99%</w:t>
            </w:r>
          </w:p>
        </w:tc>
        <w:tc>
          <w:tcPr>
            <w:tcW w:w="1332" w:type="dxa"/>
            <w:shd w:val="clear" w:color="auto" w:fill="F2F6FA"/>
            <w:vAlign w:val="center"/>
          </w:tcPr>
          <w:p w14:paraId="40140ED4">
            <w:pPr>
              <w:bidi w:val="0"/>
            </w:pPr>
            <w:r>
              <w:t>86.0</w:t>
            </w:r>
          </w:p>
        </w:tc>
      </w:tr>
      <w:tr w14:paraId="0AF0D3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FFFFF"/>
            <w:vAlign w:val="center"/>
          </w:tcPr>
          <w:p w14:paraId="2296A27C">
            <w:pPr>
              <w:bidi w:val="0"/>
            </w:pPr>
            <w:r>
              <w:t>S6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116210FE">
            <w:pPr>
              <w:bidi w:val="0"/>
            </w:pPr>
            <w:r>
              <w:t>129.0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BD186B4">
            <w:pPr>
              <w:bidi w:val="0"/>
            </w:pPr>
            <w:r>
              <w:t>6.5283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942FA7D">
            <w:pPr>
              <w:bidi w:val="0"/>
            </w:pPr>
            <w:r>
              <w:t>135.5283</w:t>
            </w:r>
          </w:p>
        </w:tc>
        <w:tc>
          <w:tcPr>
            <w:tcW w:w="935" w:type="dxa"/>
            <w:shd w:val="clear" w:color="auto" w:fill="FFFFFF"/>
            <w:vAlign w:val="center"/>
          </w:tcPr>
          <w:p w14:paraId="3CABBEDA">
            <w:pPr>
              <w:bidi w:val="0"/>
            </w:pPr>
            <w:r>
              <w:t>215</w:t>
            </w:r>
          </w:p>
        </w:tc>
        <w:tc>
          <w:tcPr>
            <w:tcW w:w="1332" w:type="dxa"/>
            <w:shd w:val="clear" w:color="auto" w:fill="FFFFFF"/>
            <w:vAlign w:val="center"/>
          </w:tcPr>
          <w:p w14:paraId="7467ECF0">
            <w:pPr>
              <w:bidi w:val="0"/>
            </w:pPr>
            <w:r>
              <w:t>63.04%</w:t>
            </w:r>
          </w:p>
        </w:tc>
        <w:tc>
          <w:tcPr>
            <w:tcW w:w="1332" w:type="dxa"/>
            <w:shd w:val="clear" w:color="auto" w:fill="FFFFFF"/>
            <w:vAlign w:val="center"/>
          </w:tcPr>
          <w:p w14:paraId="25706B8F">
            <w:pPr>
              <w:bidi w:val="0"/>
            </w:pPr>
            <w:r>
              <w:t>87.0</w:t>
            </w:r>
          </w:p>
        </w:tc>
      </w:tr>
      <w:tr w14:paraId="17AC8A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6FA"/>
            <w:vAlign w:val="center"/>
          </w:tcPr>
          <w:p w14:paraId="1ED961CF">
            <w:pPr>
              <w:bidi w:val="0"/>
            </w:pPr>
            <w:r>
              <w:t>S7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5070BAA1">
            <w:pPr>
              <w:bidi w:val="0"/>
            </w:pPr>
            <w:r>
              <w:t>26.1</w:t>
            </w:r>
          </w:p>
        </w:tc>
        <w:tc>
          <w:tcPr>
            <w:tcW w:w="1531" w:type="dxa"/>
            <w:shd w:val="clear" w:color="auto" w:fill="F2F6FA"/>
            <w:vAlign w:val="center"/>
          </w:tcPr>
          <w:p w14:paraId="1BE56BBB">
            <w:pPr>
              <w:bidi w:val="0"/>
            </w:pPr>
            <w:r>
              <w:t>4.7726</w:t>
            </w:r>
          </w:p>
        </w:tc>
        <w:tc>
          <w:tcPr>
            <w:tcW w:w="1531" w:type="dxa"/>
            <w:shd w:val="clear" w:color="auto" w:fill="F2F6FA"/>
            <w:vAlign w:val="center"/>
          </w:tcPr>
          <w:p w14:paraId="50F52C15">
            <w:pPr>
              <w:bidi w:val="0"/>
            </w:pPr>
            <w:r>
              <w:t>30.8726</w:t>
            </w:r>
          </w:p>
        </w:tc>
        <w:tc>
          <w:tcPr>
            <w:tcW w:w="935" w:type="dxa"/>
            <w:shd w:val="clear" w:color="auto" w:fill="F2F6FA"/>
            <w:vAlign w:val="center"/>
          </w:tcPr>
          <w:p w14:paraId="2887CDEB">
            <w:pPr>
              <w:bidi w:val="0"/>
            </w:pPr>
            <w:r>
              <w:t>215</w:t>
            </w:r>
          </w:p>
        </w:tc>
        <w:tc>
          <w:tcPr>
            <w:tcW w:w="1332" w:type="dxa"/>
            <w:shd w:val="clear" w:color="auto" w:fill="F2F6FA"/>
            <w:vAlign w:val="center"/>
          </w:tcPr>
          <w:p w14:paraId="207ED0F1">
            <w:pPr>
              <w:bidi w:val="0"/>
            </w:pPr>
            <w:r>
              <w:t>14.36%</w:t>
            </w:r>
          </w:p>
        </w:tc>
        <w:tc>
          <w:tcPr>
            <w:tcW w:w="1332" w:type="dxa"/>
            <w:shd w:val="clear" w:color="auto" w:fill="F2F6FA"/>
            <w:vAlign w:val="center"/>
          </w:tcPr>
          <w:p w14:paraId="221DB83C">
            <w:pPr>
              <w:bidi w:val="0"/>
            </w:pPr>
            <w:r>
              <w:t>100.0</w:t>
            </w:r>
          </w:p>
        </w:tc>
      </w:tr>
      <w:tr w14:paraId="14C3B2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FFFFF"/>
            <w:vAlign w:val="center"/>
          </w:tcPr>
          <w:p w14:paraId="413D17FF">
            <w:pPr>
              <w:bidi w:val="0"/>
            </w:pPr>
            <w:r>
              <w:t>S8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3DF5BCE8">
            <w:pPr>
              <w:bidi w:val="0"/>
            </w:pPr>
            <w:r>
              <w:t>27.0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52D90C15">
            <w:pPr>
              <w:bidi w:val="0"/>
            </w:pPr>
            <w:r>
              <w:t>9.9528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A946887">
            <w:pPr>
              <w:bidi w:val="0"/>
            </w:pPr>
            <w:r>
              <w:t>36.9528</w:t>
            </w:r>
          </w:p>
        </w:tc>
        <w:tc>
          <w:tcPr>
            <w:tcW w:w="935" w:type="dxa"/>
            <w:shd w:val="clear" w:color="auto" w:fill="FFFFFF"/>
            <w:vAlign w:val="center"/>
          </w:tcPr>
          <w:p w14:paraId="4671207E">
            <w:pPr>
              <w:bidi w:val="0"/>
            </w:pPr>
            <w:r>
              <w:t>215</w:t>
            </w:r>
          </w:p>
        </w:tc>
        <w:tc>
          <w:tcPr>
            <w:tcW w:w="1332" w:type="dxa"/>
            <w:shd w:val="clear" w:color="auto" w:fill="FFFFFF"/>
            <w:vAlign w:val="center"/>
          </w:tcPr>
          <w:p w14:paraId="40F8C998">
            <w:pPr>
              <w:bidi w:val="0"/>
            </w:pPr>
            <w:r>
              <w:t>17.19%</w:t>
            </w:r>
          </w:p>
        </w:tc>
        <w:tc>
          <w:tcPr>
            <w:tcW w:w="1332" w:type="dxa"/>
            <w:shd w:val="clear" w:color="auto" w:fill="FFFFFF"/>
            <w:vAlign w:val="center"/>
          </w:tcPr>
          <w:p w14:paraId="5995007B">
            <w:pPr>
              <w:bidi w:val="0"/>
            </w:pPr>
            <w:r>
              <w:t>100.0</w:t>
            </w:r>
          </w:p>
        </w:tc>
      </w:tr>
      <w:tr w14:paraId="7111F2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6FA"/>
            <w:vAlign w:val="center"/>
          </w:tcPr>
          <w:p w14:paraId="05CFB798">
            <w:pPr>
              <w:bidi w:val="0"/>
            </w:pPr>
            <w:r>
              <w:t>S9</w:t>
            </w:r>
          </w:p>
        </w:tc>
        <w:tc>
          <w:tcPr>
            <w:tcW w:w="1219" w:type="dxa"/>
            <w:shd w:val="clear" w:color="auto" w:fill="F2F6FA"/>
            <w:vAlign w:val="center"/>
          </w:tcPr>
          <w:p w14:paraId="300AD14E">
            <w:pPr>
              <w:bidi w:val="0"/>
            </w:pPr>
            <w:r>
              <w:t>-124.0</w:t>
            </w:r>
          </w:p>
        </w:tc>
        <w:tc>
          <w:tcPr>
            <w:tcW w:w="1531" w:type="dxa"/>
            <w:shd w:val="clear" w:color="auto" w:fill="F2F6FA"/>
            <w:vAlign w:val="center"/>
          </w:tcPr>
          <w:p w14:paraId="177AA502">
            <w:pPr>
              <w:bidi w:val="0"/>
            </w:pPr>
            <w:r>
              <w:t>34.8680</w:t>
            </w:r>
          </w:p>
        </w:tc>
        <w:tc>
          <w:tcPr>
            <w:tcW w:w="1531" w:type="dxa"/>
            <w:shd w:val="clear" w:color="auto" w:fill="F2F6FA"/>
            <w:vAlign w:val="center"/>
          </w:tcPr>
          <w:p w14:paraId="55ED5796">
            <w:pPr>
              <w:bidi w:val="0"/>
            </w:pPr>
            <w:r>
              <w:t>-89.1320</w:t>
            </w:r>
          </w:p>
        </w:tc>
        <w:tc>
          <w:tcPr>
            <w:tcW w:w="935" w:type="dxa"/>
            <w:shd w:val="clear" w:color="auto" w:fill="F2F6FA"/>
            <w:vAlign w:val="center"/>
          </w:tcPr>
          <w:p w14:paraId="6DC6D40D">
            <w:pPr>
              <w:bidi w:val="0"/>
            </w:pPr>
            <w:r>
              <w:t>305</w:t>
            </w:r>
          </w:p>
        </w:tc>
        <w:tc>
          <w:tcPr>
            <w:tcW w:w="1332" w:type="dxa"/>
            <w:shd w:val="clear" w:color="auto" w:fill="F2F6FA"/>
            <w:vAlign w:val="center"/>
          </w:tcPr>
          <w:p w14:paraId="7856BBE5">
            <w:pPr>
              <w:bidi w:val="0"/>
            </w:pPr>
            <w:r>
              <w:t>29.22%</w:t>
            </w:r>
          </w:p>
        </w:tc>
        <w:tc>
          <w:tcPr>
            <w:tcW w:w="1332" w:type="dxa"/>
            <w:shd w:val="clear" w:color="auto" w:fill="F2F6FA"/>
            <w:vAlign w:val="center"/>
          </w:tcPr>
          <w:p w14:paraId="76B62DA8">
            <w:pPr>
              <w:bidi w:val="0"/>
            </w:pPr>
            <w:r>
              <w:t>100.0</w:t>
            </w:r>
          </w:p>
        </w:tc>
      </w:tr>
      <w:tr w14:paraId="0F2886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FFFFF"/>
            <w:vAlign w:val="center"/>
          </w:tcPr>
          <w:p w14:paraId="384F4F55">
            <w:pPr>
              <w:bidi w:val="0"/>
            </w:pPr>
            <w:r>
              <w:t>S10</w:t>
            </w:r>
          </w:p>
        </w:tc>
        <w:tc>
          <w:tcPr>
            <w:tcW w:w="1219" w:type="dxa"/>
            <w:shd w:val="clear" w:color="auto" w:fill="FFFFFF"/>
            <w:vAlign w:val="center"/>
          </w:tcPr>
          <w:p w14:paraId="5A6EBE41">
            <w:pPr>
              <w:bidi w:val="0"/>
            </w:pPr>
            <w:r>
              <w:t>-129.0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76167CA">
            <w:pPr>
              <w:bidi w:val="0"/>
            </w:pPr>
            <w:r>
              <w:t>-8.3240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BFCE13F">
            <w:pPr>
              <w:bidi w:val="0"/>
            </w:pPr>
            <w:r>
              <w:t>-137.3240</w:t>
            </w:r>
          </w:p>
        </w:tc>
        <w:tc>
          <w:tcPr>
            <w:tcW w:w="935" w:type="dxa"/>
            <w:shd w:val="clear" w:color="auto" w:fill="FFFFFF"/>
            <w:vAlign w:val="center"/>
          </w:tcPr>
          <w:p w14:paraId="13D6D478">
            <w:pPr>
              <w:bidi w:val="0"/>
            </w:pPr>
            <w:r>
              <w:t>305</w:t>
            </w:r>
          </w:p>
        </w:tc>
        <w:tc>
          <w:tcPr>
            <w:tcW w:w="1332" w:type="dxa"/>
            <w:shd w:val="clear" w:color="auto" w:fill="FFFFFF"/>
            <w:vAlign w:val="center"/>
          </w:tcPr>
          <w:p w14:paraId="7349D966">
            <w:pPr>
              <w:bidi w:val="0"/>
            </w:pPr>
            <w:r>
              <w:t>45.02%</w:t>
            </w:r>
          </w:p>
        </w:tc>
        <w:tc>
          <w:tcPr>
            <w:tcW w:w="1332" w:type="dxa"/>
            <w:shd w:val="clear" w:color="auto" w:fill="FFFFFF"/>
            <w:vAlign w:val="center"/>
          </w:tcPr>
          <w:p w14:paraId="39EBFEBB">
            <w:pPr>
              <w:bidi w:val="0"/>
            </w:pPr>
            <w:r>
              <w:t>100.0</w:t>
            </w:r>
          </w:p>
        </w:tc>
      </w:tr>
    </w:tbl>
    <w:p w14:paraId="3429AC04">
      <w:pPr>
        <w:bidi w:val="0"/>
      </w:pPr>
    </w:p>
    <w:p w14:paraId="6B6296A0">
      <w:pPr>
        <w:bidi w:val="0"/>
      </w:pPr>
      <w:r>
        <w:t>＊S1 已标记传感器损坏。本行仅展示故障点原始留档的算术换算，其 219.44% 和原映射 0 分不能作为当前结构超限判断；S1 当前有效评分为空。</w:t>
      </w:r>
    </w:p>
    <w:p w14:paraId="295A9D0E">
      <w:pPr>
        <w:bidi w:val="0"/>
      </w:pPr>
      <w:r>
        <w:t>首页参考分采用原表九点口径</w:t>
      </w:r>
    </w:p>
    <w:p w14:paraId="3D05FDED">
      <w:pPr>
        <w:bidi w:val="0"/>
      </w:pPr>
      <w:r>
        <w:t>把上表 9 个原映射分相加，再除以 9。原映射总分约为 741.7870；其中 S1 仍按留档的 0 分保留。</w:t>
      </w:r>
    </w:p>
    <w:p w14:paraId="5098361B">
      <w:pPr>
        <w:bidi w:val="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首页平均参考分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741.787023…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82.420780… ≈ 82.4</m:t>
          </m:r>
        </m:oMath>
      </m:oMathPara>
    </w:p>
    <w:p w14:paraId="0706330F">
      <w:pPr>
        <w:bidi w:val="0"/>
      </w:pPr>
      <w:r>
        <w:t>有效均分采用有效八点口径</w:t>
      </w:r>
    </w:p>
    <w:p w14:paraId="5C8DA286">
      <w:pPr>
        <w:bidi w:val="0"/>
      </w:pPr>
      <w:r>
        <w:t>剔除损坏的 S1 后，总分不变，但参与平均的点数从 9 改成 8。</w:t>
      </w:r>
    </w:p>
    <w:p w14:paraId="44C94B49">
      <w:pPr>
        <w:bidi w:val="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有效测点均分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</w:rPr>
                <m:t>741.787023… − 0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 92.723378… ≈ 92.7</m:t>
          </m:r>
        </m:oMath>
      </m:oMathPara>
    </w:p>
    <w:p w14:paraId="59AF2E32">
      <w:pPr>
        <w:bidi w:val="0"/>
      </w:pPr>
      <w:r>
        <w:t>两种平均值都是每个点同等权重，没有按构件重要程度加权。82.4 用于延续原表参考口径；92.7 说明剩余有效测点在当前评分规则下的平均表现。它们都不能掩盖 S1 的监测缺口或 S2 的单点关注。</w:t>
      </w:r>
    </w:p>
    <w:p w14:paraId="7F7A27E4">
      <w:pPr>
        <w:bidi w:val="0"/>
      </w:pPr>
      <w:r>
        <w:t>有效覆盖率为 8/9 ≈ 88.9%，仅针对本组已纳入测点，不是整座煤棚的空间监测覆盖率。S4 不在本组分母内。有效点最低分是 S2 的 73.9；因为仍有故障点，程序不发布完整组的控制分。</w:t>
      </w:r>
    </w:p>
    <w:p w14:paraId="29C5140E">
      <w:pPr>
        <w:bidi w:val="0"/>
      </w:pPr>
      <w:r>
        <w:t>五 分数怎样进入页面和预警中心</w:t>
      </w:r>
    </w:p>
    <w:p w14:paraId="3170F912">
      <w:pPr>
        <w:bidi w:val="0"/>
      </w:pPr>
      <w:r>
        <w:t>平均分和风险提示分别计算</w:t>
      </w:r>
    </w:p>
    <w:p w14:paraId="23B3549D">
      <w:pPr>
        <w:bidi w:val="0"/>
      </w:pPr>
      <w:r>
        <w:t>首页既显示平均参考分，也显示数据是否可信。对当前确认表，程序显示 S1 传感器损坏、8/9 有效；预警中心列出下面两项。平均分较高，也需要处理这些具体问题。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1361"/>
        <w:gridCol w:w="3402"/>
        <w:gridCol w:w="4876"/>
      </w:tblGrid>
      <w:tr w14:paraId="03E9AE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173F5F"/>
            <w:vAlign w:val="center"/>
          </w:tcPr>
          <w:p w14:paraId="54883292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复核项</w:t>
            </w:r>
          </w:p>
        </w:tc>
        <w:tc>
          <w:tcPr>
            <w:tcW w:w="3402" w:type="dxa"/>
            <w:shd w:val="clear" w:color="auto" w:fill="173F5F"/>
            <w:vAlign w:val="center"/>
          </w:tcPr>
          <w:p w14:paraId="372207F9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为什么出现</w:t>
            </w:r>
          </w:p>
        </w:tc>
        <w:tc>
          <w:tcPr>
            <w:tcW w:w="4876" w:type="dxa"/>
            <w:shd w:val="clear" w:color="auto" w:fill="173F5F"/>
            <w:vAlign w:val="center"/>
          </w:tcPr>
          <w:p w14:paraId="18B6C5EF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怎样理解和处理</w:t>
            </w:r>
          </w:p>
        </w:tc>
      </w:tr>
      <w:tr w14:paraId="09E9BA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vAlign w:val="center"/>
          </w:tcPr>
          <w:p w14:paraId="5B95770A">
            <w:pPr>
              <w:bidi w:val="0"/>
            </w:pPr>
            <w:r>
              <w:t>S1</w:t>
            </w:r>
            <w:r>
              <w:br w:type="textWrapping"/>
            </w:r>
            <w:r>
              <w:t>设备故障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5D0D56">
            <w:pPr>
              <w:bidi w:val="0"/>
            </w:pPr>
            <w:r>
              <w:t>用户于 2026-10-18 标记传感器损坏。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2A263C43">
            <w:pPr>
              <w:bidi w:val="0"/>
            </w:pPr>
            <w:r>
              <w:t>当前有效评分留空；检修设备，恢复可信读数，再更新设备状态。</w:t>
            </w:r>
          </w:p>
        </w:tc>
      </w:tr>
      <w:tr w14:paraId="6A68B8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2F6FA"/>
            <w:vAlign w:val="center"/>
          </w:tcPr>
          <w:p w14:paraId="72C6CC7E">
            <w:pPr>
              <w:bidi w:val="0"/>
            </w:pPr>
            <w:r>
              <w:t>S2</w:t>
            </w:r>
            <w:r>
              <w:br w:type="textWrapping"/>
            </w:r>
            <w:r>
              <w:t>应力关注</w:t>
            </w:r>
          </w:p>
        </w:tc>
        <w:tc>
          <w:tcPr>
            <w:tcW w:w="3402" w:type="dxa"/>
            <w:shd w:val="clear" w:color="auto" w:fill="F2F6FA"/>
            <w:vAlign w:val="center"/>
          </w:tcPr>
          <w:p w14:paraId="46B4E8FC">
            <w:pPr>
              <w:bidi w:val="0"/>
            </w:pPr>
            <w:r>
              <w:t>应力比 76.08% 超过项目暂定 70% 分界。</w:t>
            </w:r>
          </w:p>
        </w:tc>
        <w:tc>
          <w:tcPr>
            <w:tcW w:w="4876" w:type="dxa"/>
            <w:shd w:val="clear" w:color="auto" w:fill="F2F6FA"/>
            <w:vAlign w:val="center"/>
          </w:tcPr>
          <w:p w14:paraId="421B1828">
            <w:pPr>
              <w:bidi w:val="0"/>
            </w:pPr>
            <w:r>
              <w:t>复核基准、温补和同期荷载，并结合现场及结构模型检查。</w:t>
            </w:r>
          </w:p>
        </w:tc>
      </w:tr>
    </w:tbl>
    <w:p w14:paraId="7DA7CBBA">
      <w:pPr>
        <w:bidi w:val="0"/>
      </w:pPr>
    </w:p>
    <w:p w14:paraId="4A9B7E2C">
      <w:pPr>
        <w:bidi w:val="0"/>
      </w:pPr>
      <w:r>
        <w:t>每个故障点、缺测点或触发应力关注的测点计 1 项，同一点不重复。两项是待复核条目数，不能表述为已经确认的两处结构损伤。异常检查与设备维护原则参考 GB 50982—2014 第 3.4.7、3.4.8 条［3］。</w:t>
      </w:r>
    </w:p>
    <w:p w14:paraId="3550C4CA">
      <w:pPr>
        <w:bidi w:val="0"/>
      </w:pPr>
      <w:r>
        <w:t>状态提示依次优先处理：有效点超限、设备故障、数据缺失、应力预警、应力关注。即使存在 S1 故障，其他有效测点的真实规则触发仍会保留。</w:t>
      </w:r>
    </w:p>
    <w:p w14:paraId="3C8A39C3">
      <w:pPr>
        <w:bidi w:val="0"/>
      </w:pPr>
      <w:r>
        <w:t>程序中分别由哪些模块完成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</w:tblPr>
      <w:tblGrid>
        <w:gridCol w:w="1474"/>
        <w:gridCol w:w="3005"/>
        <w:gridCol w:w="5159"/>
      </w:tblGrid>
      <w:tr w14:paraId="2EB417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173F5F"/>
            <w:vAlign w:val="center"/>
          </w:tcPr>
          <w:p w14:paraId="441F2AD9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计算环节</w:t>
            </w:r>
          </w:p>
        </w:tc>
        <w:tc>
          <w:tcPr>
            <w:tcW w:w="3005" w:type="dxa"/>
            <w:shd w:val="clear" w:color="auto" w:fill="173F5F"/>
            <w:vAlign w:val="center"/>
          </w:tcPr>
          <w:p w14:paraId="6DF3E93C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对应模块</w:t>
            </w:r>
          </w:p>
        </w:tc>
        <w:tc>
          <w:tcPr>
            <w:tcW w:w="5159" w:type="dxa"/>
            <w:shd w:val="clear" w:color="auto" w:fill="173F5F"/>
            <w:vAlign w:val="center"/>
          </w:tcPr>
          <w:p w14:paraId="438A9D91">
            <w:pPr>
              <w:bidi w:val="0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具体工作</w:t>
            </w:r>
          </w:p>
        </w:tc>
      </w:tr>
      <w:tr w14:paraId="16E8BD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1C1ACCD4">
            <w:pPr>
              <w:bidi w:val="0"/>
            </w:pPr>
            <w:r>
              <w:t>读取项目参数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3D3ECB64">
            <w:pPr>
              <w:bidi w:val="0"/>
            </w:pPr>
            <w:r>
              <w:t>data/assessment_config.json</w:t>
            </w:r>
          </w:p>
        </w:tc>
        <w:tc>
          <w:tcPr>
            <w:tcW w:w="5159" w:type="dxa"/>
            <w:shd w:val="clear" w:color="auto" w:fill="FFFFFF"/>
            <w:vAlign w:val="center"/>
          </w:tcPr>
          <w:p w14:paraId="19AE0FB4">
            <w:pPr>
              <w:bidi w:val="0"/>
            </w:pPr>
            <w:r>
              <w:t>保存 CS18 初值、材料基准、确认增量和 S1 故障标记。</w:t>
            </w:r>
          </w:p>
        </w:tc>
      </w:tr>
      <w:tr w14:paraId="60F60A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6FA"/>
            <w:vAlign w:val="center"/>
          </w:tcPr>
          <w:p w14:paraId="403E285B">
            <w:pPr>
              <w:bidi w:val="0"/>
            </w:pPr>
            <w:r>
              <w:t>准备监测数据</w:t>
            </w:r>
          </w:p>
        </w:tc>
        <w:tc>
          <w:tcPr>
            <w:tcW w:w="3005" w:type="dxa"/>
            <w:shd w:val="clear" w:color="auto" w:fill="F2F6FA"/>
            <w:vAlign w:val="center"/>
          </w:tcPr>
          <w:p w14:paraId="72242738">
            <w:pPr>
              <w:bidi w:val="0"/>
            </w:pPr>
            <w:r>
              <w:t>core/monitoring.py</w:t>
            </w:r>
          </w:p>
        </w:tc>
        <w:tc>
          <w:tcPr>
            <w:tcW w:w="5159" w:type="dxa"/>
            <w:shd w:val="clear" w:color="auto" w:fill="F2F6FA"/>
            <w:vAlign w:val="center"/>
          </w:tcPr>
          <w:p w14:paraId="6C1D815C">
            <w:pPr>
              <w:bidi w:val="0"/>
            </w:pPr>
            <w:r>
              <w:t>读取工作簿，沿用温度修正与原基准；供最新记录模式使用。</w:t>
            </w:r>
          </w:p>
        </w:tc>
      </w:tr>
      <w:tr w14:paraId="0D40F1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336C9D11">
            <w:pPr>
              <w:bidi w:val="0"/>
            </w:pPr>
            <w:r>
              <w:t>逐点计算与汇总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2C81818D">
            <w:pPr>
              <w:bidi w:val="0"/>
            </w:pPr>
            <w:r>
              <w:t>core/assessment.py</w:t>
            </w:r>
          </w:p>
        </w:tc>
        <w:tc>
          <w:tcPr>
            <w:tcW w:w="5159" w:type="dxa"/>
            <w:shd w:val="clear" w:color="auto" w:fill="FFFFFF"/>
            <w:vAlign w:val="center"/>
          </w:tcPr>
          <w:p w14:paraId="0B6BB1DE">
            <w:pPr>
              <w:bidi w:val="0"/>
            </w:pPr>
            <w:r>
              <w:t>evaluate_point 算应力与状态；stress_score 算分；summarize 汇总两种均分和有效点数。</w:t>
            </w:r>
          </w:p>
        </w:tc>
      </w:tr>
      <w:tr w14:paraId="0A239A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2F6FA"/>
            <w:vAlign w:val="center"/>
          </w:tcPr>
          <w:p w14:paraId="632222AE">
            <w:pPr>
              <w:bidi w:val="0"/>
            </w:pPr>
            <w:r>
              <w:t>显示评分</w:t>
            </w:r>
          </w:p>
        </w:tc>
        <w:tc>
          <w:tcPr>
            <w:tcW w:w="3005" w:type="dxa"/>
            <w:shd w:val="clear" w:color="auto" w:fill="F2F6FA"/>
            <w:vAlign w:val="center"/>
          </w:tcPr>
          <w:p w14:paraId="667EB7A4">
            <w:pPr>
              <w:bidi w:val="0"/>
            </w:pPr>
            <w:r>
              <w:t>assets/home/assessment.js</w:t>
            </w:r>
          </w:p>
        </w:tc>
        <w:tc>
          <w:tcPr>
            <w:tcW w:w="5159" w:type="dxa"/>
            <w:shd w:val="clear" w:color="auto" w:fill="F2F6FA"/>
            <w:vAlign w:val="center"/>
          </w:tcPr>
          <w:p w14:paraId="7A42B67D">
            <w:pPr>
              <w:bidi w:val="0"/>
            </w:pPr>
            <w:r>
              <w:t>让首页和安全评估页共用当前来源，显示分数及逐点计算。</w:t>
            </w:r>
          </w:p>
        </w:tc>
      </w:tr>
      <w:tr w14:paraId="09E926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5" w:type="dxa"/>
            <w:left w:w="100" w:type="dxa"/>
            <w:bottom w:w="95" w:type="dxa"/>
            <w:right w:w="100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45CCD00C">
            <w:pPr>
              <w:bidi w:val="0"/>
            </w:pPr>
            <w:r>
              <w:t>生成风险详情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D0075FE">
            <w:pPr>
              <w:bidi w:val="0"/>
            </w:pPr>
            <w:r>
              <w:t>core/key_indicators.py</w:t>
            </w:r>
            <w:r>
              <w:br w:type="textWrapping"/>
            </w:r>
            <w:r>
              <w:t>core/alerts.py</w:t>
            </w:r>
          </w:p>
        </w:tc>
        <w:tc>
          <w:tcPr>
            <w:tcW w:w="5159" w:type="dxa"/>
            <w:shd w:val="clear" w:color="auto" w:fill="FFFFFF"/>
            <w:vAlign w:val="center"/>
          </w:tcPr>
          <w:p w14:paraId="7D4FE2DE">
            <w:pPr>
              <w:bidi w:val="0"/>
            </w:pPr>
            <w:r>
              <w:t>从同一评分结果列出设备、缺测及应力复核项。</w:t>
            </w:r>
          </w:p>
        </w:tc>
      </w:tr>
    </w:tbl>
    <w:p w14:paraId="68BA8CC7">
      <w:pPr>
        <w:bidi w:val="0"/>
      </w:pPr>
    </w:p>
    <w:p w14:paraId="506CC7E0">
      <w:pPr>
        <w:bidi w:val="0"/>
      </w:pPr>
      <w:r>
        <w:t>挠度、疲劳、腐蚀和剩余寿命的四项演示参数没有进入本评分，也不生成上述风险清单。CS19 应力云图属于另一份静态计算快照，不参与 CS18 初值加监测增量的评分。</w:t>
      </w:r>
    </w:p>
    <w:p w14:paraId="54EE9FD4">
      <w:pPr>
        <w:bidi w:val="0"/>
      </w:pPr>
      <w:r>
        <w:t>确认表与最新记录切换后，首页分数和风险列表同步重算。82.4 只对应本说明的确认表口径，不是切换任何来源都固定显示的常数。</w:t>
      </w:r>
    </w:p>
    <w:p w14:paraId="6DF49437">
      <w:pPr>
        <w:bidi w:val="0"/>
      </w:pPr>
      <w:r>
        <w:t>六 规范支持</w:t>
      </w:r>
      <w:r>
        <w:rPr>
          <w:rFonts w:hint="eastAsia"/>
          <w:lang w:eastAsia="zh-CN"/>
        </w:rPr>
        <w:t>的</w:t>
      </w:r>
      <w:r>
        <w:t>取值和做法</w:t>
      </w:r>
    </w:p>
    <w:p w14:paraId="158CE916">
      <w:pPr>
        <w:bidi w:val="0"/>
      </w:pPr>
      <w:r>
        <w:t>依据《钢结构通用规范》GB 55006—2021 第 3.0.3 条及其条文说明表 2，厚度不超过 16 mm 时：</w:t>
      </w:r>
    </w:p>
    <w:tbl>
      <w:tblPr>
        <w:tblStyle w:val="3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3318"/>
        <w:gridCol w:w="2218"/>
        <w:gridCol w:w="2233"/>
      </w:tblGrid>
      <w:tr w14:paraId="0F0BE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D5D39">
            <w:pPr>
              <w:bidi w:val="0"/>
            </w:pPr>
            <w:r>
              <w:rPr>
                <w:lang w:val="en-US" w:eastAsia="zh-CN"/>
              </w:rPr>
              <w:t>钢材牌号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FE9C9">
            <w:pPr>
              <w:bidi w:val="0"/>
            </w:pPr>
            <w:r>
              <w:rPr>
                <w:lang w:val="en-US" w:eastAsia="zh-CN"/>
              </w:rPr>
              <w:t>抗拉、抗压、抗弯强度设计值 \(f\)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AC026">
            <w:pPr>
              <w:bidi w:val="0"/>
            </w:pPr>
            <w:r>
              <w:rPr>
                <w:lang w:val="en-US" w:eastAsia="zh-CN"/>
              </w:rPr>
              <w:t>抗剪强度设计值 \(f_v\)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8BB3F">
            <w:pPr>
              <w:bidi w:val="0"/>
            </w:pPr>
            <w:r>
              <w:rPr>
                <w:lang w:val="en-US" w:eastAsia="zh-CN"/>
              </w:rPr>
              <w:t>屈服强度最小值 \(f_y\)</w:t>
            </w:r>
          </w:p>
        </w:tc>
      </w:tr>
      <w:tr w14:paraId="19337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1B85FE">
            <w:pPr>
              <w:bidi w:val="0"/>
            </w:pPr>
            <w:r>
              <w:rPr>
                <w:lang w:val="en-US" w:eastAsia="zh-CN"/>
              </w:rPr>
              <w:t>Q235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DA871">
            <w:pPr>
              <w:bidi w:val="0"/>
            </w:pPr>
            <w:r>
              <w:rPr>
                <w:lang w:val="en-US" w:eastAsia="zh-CN"/>
              </w:rPr>
              <w:t>215 MPa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620D1">
            <w:pPr>
              <w:bidi w:val="0"/>
            </w:pPr>
            <w:r>
              <w:rPr>
                <w:lang w:val="en-US" w:eastAsia="zh-CN"/>
              </w:rPr>
              <w:t>125 MPa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105C0">
            <w:pPr>
              <w:bidi w:val="0"/>
            </w:pPr>
            <w:r>
              <w:rPr>
                <w:lang w:val="en-US" w:eastAsia="zh-CN"/>
              </w:rPr>
              <w:t>235 MPa</w:t>
            </w:r>
          </w:p>
        </w:tc>
      </w:tr>
      <w:tr w14:paraId="61E86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4A0524">
            <w:pPr>
              <w:bidi w:val="0"/>
            </w:pPr>
            <w:r>
              <w:rPr>
                <w:lang w:val="en-US" w:eastAsia="zh-CN"/>
              </w:rPr>
              <w:t>Q355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70F1D">
            <w:pPr>
              <w:bidi w:val="0"/>
            </w:pPr>
            <w:r>
              <w:rPr>
                <w:lang w:val="en-US" w:eastAsia="zh-CN"/>
              </w:rPr>
              <w:t>305 MPa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597A4">
            <w:pPr>
              <w:bidi w:val="0"/>
            </w:pPr>
            <w:r>
              <w:rPr>
                <w:lang w:val="en-US" w:eastAsia="zh-CN"/>
              </w:rPr>
              <w:t>175 MPa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31AF6">
            <w:pPr>
              <w:bidi w:val="0"/>
            </w:pPr>
            <w:r>
              <w:rPr>
                <w:lang w:val="en-US" w:eastAsia="zh-CN"/>
              </w:rPr>
              <w:t>355 MPa</w:t>
            </w:r>
          </w:p>
        </w:tc>
      </w:tr>
    </w:tbl>
    <w:p w14:paraId="73F8FB94">
      <w:pPr>
        <w:bidi w:val="0"/>
      </w:pPr>
      <w:r>
        <w:t>这里按钢管的壁厚选档，不能按钢管外径选档。表中数值已核对原表。</w:t>
      </w:r>
      <w:r>
        <w:fldChar w:fldCharType="begin"/>
      </w:r>
      <w:r>
        <w:instrText xml:space="preserve"> HYPERLINK "https://gf.cabr-fire.com/m/article-39049.htm" </w:instrText>
      </w:r>
      <w:r>
        <w:fldChar w:fldCharType="separate"/>
      </w:r>
      <w:r>
        <w:rPr>
          <w:rStyle w:val="135"/>
        </w:rPr>
        <w:t>规范条文与强度表：中国建筑科学研究院建筑防火研究所</w:t>
      </w:r>
      <w:r>
        <w:fldChar w:fldCharType="end"/>
      </w:r>
    </w:p>
    <w:p w14:paraId="3AB22617">
      <w:pPr>
        <w:bidi w:val="0"/>
      </w:pPr>
      <w:r>
        <w:t>通俗地说：235、355 是材料的屈服强度指标；进行结构强度设计验算时，对应使用的是 215、305。 GB 55006—2021 自 2022 年 1 月 1 日实施，属于强制性工程建设规范。</w:t>
      </w:r>
      <w:r>
        <w:fldChar w:fldCharType="begin"/>
      </w:r>
      <w:r>
        <w:instrText xml:space="preserve"> HYPERLINK "https://www.mohurd.gov.cn/gongkai/zc/wjk/art/2021/art_17339_761191.html" </w:instrText>
      </w:r>
      <w:r>
        <w:fldChar w:fldCharType="separate"/>
      </w:r>
      <w:r>
        <w:rPr>
          <w:rStyle w:val="135"/>
        </w:rPr>
        <w:t>住建部发布公告</w:t>
      </w:r>
      <w:r>
        <w:fldChar w:fldCharType="end"/>
      </w:r>
    </w:p>
    <w:p w14:paraId="4660236C">
      <w:pPr>
        <w:bidi w:val="0"/>
      </w:pPr>
      <w:r>
        <w:t>对应到监测点</w:t>
      </w:r>
      <w:r>
        <w:rPr>
          <w:rFonts w:hint="eastAsia"/>
          <w:lang w:eastAsia="zh-CN"/>
        </w:rPr>
        <w:t>，</w:t>
      </w:r>
      <w:r>
        <w:t>按照当前系统测点配置和模型材料分配，可以先整理为：</w:t>
      </w:r>
    </w:p>
    <w:tbl>
      <w:tblPr>
        <w:tblStyle w:val="3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7"/>
        <w:gridCol w:w="940"/>
        <w:gridCol w:w="940"/>
        <w:gridCol w:w="2055"/>
      </w:tblGrid>
      <w:tr w14:paraId="433B2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96A59">
            <w:pPr>
              <w:bidi w:val="0"/>
            </w:pPr>
            <w:r>
              <w:rPr>
                <w:lang w:val="en-US" w:eastAsia="zh-CN"/>
              </w:rPr>
              <w:t>测点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561E2">
            <w:pPr>
              <w:bidi w:val="0"/>
            </w:pPr>
            <w:r>
              <w:rPr>
                <w:lang w:val="en-US" w:eastAsia="zh-CN"/>
              </w:rPr>
              <w:t>模型钢材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53B05">
            <w:pPr>
              <w:bidi w:val="0"/>
            </w:pPr>
            <w:r>
              <w:rPr>
                <w:lang w:val="en-US" w:eastAsia="zh-CN"/>
              </w:rPr>
              <w:t>管壁厚度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263F9">
            <w:pPr>
              <w:bidi w:val="0"/>
            </w:pPr>
            <w:r>
              <w:rPr>
                <w:lang w:val="en-US" w:eastAsia="zh-CN"/>
              </w:rPr>
              <w:t>候选材料强度设计值</w:t>
            </w:r>
          </w:p>
        </w:tc>
      </w:tr>
      <w:tr w14:paraId="384BB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9FAF1">
            <w:pPr>
              <w:bidi w:val="0"/>
            </w:pPr>
            <w:r>
              <w:rPr>
                <w:lang w:val="en-US" w:eastAsia="zh-CN"/>
              </w:rPr>
              <w:t>S1、S2、S3、S5、S6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D9912">
            <w:pPr>
              <w:bidi w:val="0"/>
            </w:pPr>
            <w:r>
              <w:rPr>
                <w:lang w:val="en-US" w:eastAsia="zh-CN"/>
              </w:rPr>
              <w:t>Q235B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D4BD2">
            <w:pPr>
              <w:bidi w:val="0"/>
            </w:pPr>
            <w:r>
              <w:rPr>
                <w:lang w:val="en-US" w:eastAsia="zh-CN"/>
              </w:rPr>
              <w:t>4 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23977">
            <w:pPr>
              <w:bidi w:val="0"/>
            </w:pPr>
            <w:r>
              <w:rPr>
                <w:lang w:val="en-US" w:eastAsia="zh-CN"/>
              </w:rPr>
              <w:t>215 MPa</w:t>
            </w:r>
          </w:p>
        </w:tc>
      </w:tr>
      <w:tr w14:paraId="2286E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DD71D">
            <w:pPr>
              <w:bidi w:val="0"/>
            </w:pPr>
            <w:r>
              <w:rPr>
                <w:lang w:val="en-US" w:eastAsia="zh-CN"/>
              </w:rPr>
              <w:t>S7、S8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C125E">
            <w:pPr>
              <w:bidi w:val="0"/>
            </w:pPr>
            <w:r>
              <w:rPr>
                <w:lang w:val="en-US" w:eastAsia="zh-CN"/>
              </w:rPr>
              <w:t>Q235B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8F496">
            <w:pPr>
              <w:bidi w:val="0"/>
            </w:pPr>
            <w:r>
              <w:rPr>
                <w:lang w:val="en-US" w:eastAsia="zh-CN"/>
              </w:rPr>
              <w:t>3.75 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07FAE">
            <w:pPr>
              <w:bidi w:val="0"/>
            </w:pPr>
            <w:r>
              <w:rPr>
                <w:lang w:val="en-US" w:eastAsia="zh-CN"/>
              </w:rPr>
              <w:t>215 MPa</w:t>
            </w:r>
          </w:p>
        </w:tc>
      </w:tr>
      <w:tr w14:paraId="047D0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A0AE92">
            <w:pPr>
              <w:bidi w:val="0"/>
            </w:pPr>
            <w:r>
              <w:rPr>
                <w:lang w:val="en-US" w:eastAsia="zh-CN"/>
              </w:rPr>
              <w:t>S9、S10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C0D82">
            <w:pPr>
              <w:bidi w:val="0"/>
            </w:pPr>
            <w:r>
              <w:rPr>
                <w:lang w:val="en-US" w:eastAsia="zh-CN"/>
              </w:rPr>
              <w:t>Q355B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EB923">
            <w:pPr>
              <w:bidi w:val="0"/>
            </w:pPr>
            <w:r>
              <w:rPr>
                <w:lang w:val="en-US" w:eastAsia="zh-CN"/>
              </w:rPr>
              <w:t>6 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7BBD8">
            <w:pPr>
              <w:bidi w:val="0"/>
            </w:pPr>
            <w:r>
              <w:rPr>
                <w:lang w:val="en-US" w:eastAsia="zh-CN"/>
              </w:rPr>
              <w:t>305 MPa</w:t>
            </w:r>
          </w:p>
        </w:tc>
      </w:tr>
    </w:tbl>
    <w:p w14:paraId="786A1313">
      <w:pPr>
        <w:bidi w:val="0"/>
      </w:pPr>
      <w:r>
        <w:t>这是模型中的材料信息。正式采用前，还要与设计图纸、材质证明及钢管制造类型核对。《钢结构设计标准》GB 50017—2017 第 4.4 节对结构用无缝钢管另列强度表，对冷弯型材、冷弯钢管要求按相应标准取值。</w:t>
      </w:r>
      <w:r>
        <w:fldChar w:fldCharType="begin"/>
      </w:r>
      <w:r>
        <w:instrText xml:space="preserve"> HYPERLINK "https://gf.cabr-fire.com/article-34482.htm" </w:instrText>
      </w:r>
      <w:r>
        <w:fldChar w:fldCharType="separate"/>
      </w:r>
      <w:r>
        <w:rPr>
          <w:rStyle w:val="135"/>
        </w:rPr>
        <w:t>GB 50017 第 4.4 节</w:t>
      </w:r>
      <w:r>
        <w:fldChar w:fldCharType="end"/>
      </w:r>
    </w:p>
    <w:p w14:paraId="42673224">
      <w:pPr>
        <w:bidi w:val="0"/>
      </w:pPr>
    </w:p>
    <w:p w14:paraId="43F4183D">
      <w:pPr>
        <w:bidi w:val="0"/>
      </w:pPr>
    </w:p>
    <w:sectPr>
      <w:footerReference r:id="rId5" w:type="default"/>
      <w:pgSz w:w="11906" w:h="16838"/>
      <w:pgMar w:top="1049" w:right="1134" w:bottom="992" w:left="1134" w:header="340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6EBB3">
    <w:pPr>
      <w:pStyle w:val="24"/>
      <w:jc w:val="center"/>
    </w:pPr>
    <w:r>
      <w:rPr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58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after="140" w:line="276" w:lineRule="auto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napToGrid w:val="0"/>
      <w:spacing w:before="0" w:after="14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napToGrid w:val="0"/>
      <w:spacing w:before="18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napToGrid w:val="0"/>
      <w:spacing w:before="180" w:after="140" w:line="276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napToGrid w:val="0"/>
      <w:spacing w:after="140" w:line="276" w:lineRule="auto"/>
    </w:pPr>
    <w:rPr>
      <w:rFonts w:ascii="Arial" w:hAnsi="Arial" w:eastAsia="微软雅黑"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pPr>
      <w:snapToGrid w:val="0"/>
      <w:spacing w:after="140" w:line="276" w:lineRule="auto"/>
    </w:pPr>
    <w:rPr>
      <w:rFonts w:asciiTheme="majorHAnsi" w:hAnsiTheme="majorHAnsi" w:eastAsiaTheme="majorEastAsia" w:cstheme="majorBidi"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snapToGrid w:val="0"/>
      <w:spacing w:after="200" w:line="276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qFormat/>
    <w:uiPriority w:val="0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4463</Words>
  <Characters>5620</Characters>
  <Lines>0</Lines>
  <Paragraphs>0</Paragraphs>
  <TotalTime>1</TotalTime>
  <ScaleCrop>false</ScaleCrop>
  <LinksUpToDate>false</LinksUpToDate>
  <CharactersWithSpaces>6084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cp:keywords>应力监测 参考评分 CS18 82.4 规范依据</cp:keywords>
  <cp:lastModifiedBy>ziax****@*****mail.site</cp:lastModifiedBy>
  <dcterms:modified xsi:type="dcterms:W3CDTF">2026-10-19T01:39:56Z</dcterms:modified>
  <dc:subject>商洛煤棚钢结构工程组会汇报</dc:subject>
  <dc:title>总体安全评估评分方法说明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eyJoZGlkIjoiOWM2OTk2MTA2ZmM2NDE5N2ZlZjRmOTE0YmNjMmYzYmYiLCJ1c2VySWQiOiIxNzQ4MDU1OTE1In0=</vt:lpwstr>
  </property>
  <property fmtid="{D5CDD505-2E9C-101B-9397-08002B2CF9AE}" pid="3" name="KSOProductBuildVer">
    <vt:lpwstr>2052-12.1.0.29161</vt:lpwstr>
  </property>
  <property fmtid="{D5CDD505-2E9C-101B-9397-08002B2CF9AE}" pid="4" name="ICV">
    <vt:lpwstr>F57B0C53547F445C9696DAD071AF1087_12</vt:lpwstr>
  </property>
</Properties>
</file>