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F497D"/>
          <w:sz w:val="36"/>
        </w:rPr>
        <w:t>基于 .NET 的企业运维管理平台 - 数据库设计</w:t>
      </w:r>
    </w:p>
    <w:p>
      <w:pPr>
        <w:jc w:val="center"/>
      </w:pPr>
      <w:r>
        <w:rPr>
          <w:color w:val="595959"/>
          <w:sz w:val="24"/>
        </w:rPr>
        <w:t>数据库表与核心字段汇总说明表</w:t>
      </w:r>
    </w:p>
    <w:p/>
    <w:p>
      <w:pPr>
        <w:jc w:val="left"/>
      </w:pPr>
      <w:r>
        <w:rPr>
          <w:rFonts w:ascii="黑体" w:hAnsi="黑体"/>
          <w:b/>
          <w:sz w:val="22"/>
        </w:rPr>
        <w:t>表3.1 数据库表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432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主要字段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sys_users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Id、UserName、PasswordHash、RealName、Email、Status、CreateTime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保存用户身份账号、密码哈希、邮箱及账号状态信息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sys_roles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Id、RoleCode、RoleName、Description、CreateTime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保存系统角色编码、角色名称及说明信息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sys_user_roles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UserId、RoleId、CreateTime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建立用户与角色的多对多映射关联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sys_permissions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Id、PermissionCode、PermissionName、Path、Method、Description、CreateTime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保存权限编码、权限名称、路由路径及请求方法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sys_role_permissions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Id、RoleId、PermissionId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建立角色与权限的多对多授权关联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asset_types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Id、TypeCode、TypeName、Description、CreateTime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保存设备资产分类及类型编码信息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assets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Id、AssetNo、AssetName、AssetTypeId、IpAddress、Location、Status、Description、CreateTime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保存设备资产编号、名称、类型关联、IP地址、部署位置及运行状态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alarm_roles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Id、RuleName、AssetTypeId、Metric、Threshold、Severity、Status、Description、CreateTime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保存告警判断规则名称、关联设备类型、监控指标、阈值及告警级别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alarm_records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Id、AlarmNo、AssetId、RuleId、Content、Severity、Status、TriggeredAt、Handler、ResolutionNotes、ResolvedAt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保存触发的设备告警记录、告警等级、处理人及解决状态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work_orders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Id、WorkOrderNo、Source、Priority、AssetId、AlarmId、Handler、Status、Title、Description、CreateTime、FinishedAt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保存运维处置工单编号、关联告警/设备、优先级、负责人及完工状态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work_order_logs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Id、WorkOrderId、OperatorId、OperatorName、PreviousStatus、NewStatus、ActionNote、CreateTime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保存工单状态流转变迁履历、操作人及处理备注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operation_logs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Id、Username、Module、Action、IpAddress、RequestParam、Success、ExecutionTimeMs、Description、CreatedAt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保存用户登录及敏感业务操作审计日志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1F497D"/>
                <w:sz w:val="19"/>
              </w:rPr>
              <w:t>system_logs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Id、Level、Source、Message、ExceptionDetails、CreatedAt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宋体" w:hAnsi="宋体"/>
                <w:sz w:val="19"/>
              </w:rPr>
              <w:t>保存后台自动化告警引擎运行状态及系统异常日志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