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36"/>
          <w:szCs w:val="36"/>
        </w:rPr>
        <w:t xml:space="preserve">Color-Word Spatial Correlation in the Voynich Manuscript:</w:t>
      </w:r>
    </w:p>
    <w:p>
      <w:pPr>
        <w:spacing w:after="240" w:before="0"/>
        <w:jc w:val="center"/>
      </w:pPr>
      <w:r>
        <w:rPr>
          <w:rFonts w:ascii="Arial" w:cs="Arial" w:eastAsia="Arial" w:hAnsi="Arial"/>
          <w:b/>
          <w:bCs/>
          <w:color w:val="2E5496"/>
          <w:sz w:val="28"/>
          <w:szCs w:val="28"/>
        </w:rPr>
        <w:t xml:space="preserve">Evidence for Elemental Quality Encoding in a Semitic-Framework Constructed Language</w:t>
      </w:r>
    </w:p>
    <w:p>
      <w:pPr>
        <w:spacing w:after="80" w:before="0"/>
        <w:jc w:val="center"/>
      </w:pPr>
      <w:r>
        <w:rPr>
          <w:rFonts w:ascii="Arial" w:cs="Arial" w:eastAsia="Arial" w:hAnsi="Arial"/>
          <w:b/>
          <w:bCs/>
          <w:sz w:val="24"/>
          <w:szCs w:val="24"/>
        </w:rPr>
        <w:t xml:space="preserve">Vince Gonzalez</w:t>
      </w:r>
    </w:p>
    <w:p>
      <w:pPr>
        <w:spacing w:after="80" w:before="0"/>
        <w:jc w:val="center"/>
      </w:pPr>
      <w:r>
        <w:rPr>
          <w:rFonts w:ascii="Arial" w:cs="Arial" w:eastAsia="Arial" w:hAnsi="Arial"/>
          <w:i/>
          <w:iCs/>
          <w:sz w:val="20"/>
          <w:szCs w:val="20"/>
        </w:rPr>
        <w:t xml:space="preserve">Independent Researcher, Punta Gorda, Florida</w:t>
      </w:r>
    </w:p>
    <w:p>
      <w:pPr>
        <w:spacing w:after="480" w:before="0"/>
        <w:jc w:val="center"/>
      </w:pPr>
      <w:r>
        <w:rPr>
          <w:rFonts w:ascii="Arial" w:cs="Arial" w:eastAsia="Arial" w:hAnsi="Arial"/>
          <w:color w:val="666666"/>
          <w:sz w:val="20"/>
          <w:szCs w:val="20"/>
        </w:rPr>
        <w:t xml:space="preserve">May 2026</w:t>
      </w:r>
    </w:p>
    <w:p>
      <w:pPr>
        <w:pStyle w:val="Heading1"/>
        <w:spacing w:after="120" w:before="360"/>
      </w:pPr>
      <w:r>
        <w:rPr>
          <w:rFonts w:ascii="Arial" w:cs="Arial" w:eastAsia="Arial" w:hAnsi="Arial"/>
          <w:b/>
          <w:bCs/>
          <w:sz w:val="32"/>
          <w:szCs w:val="32"/>
        </w:rPr>
        <w:t xml:space="preserve">Abstract</w:t>
      </w:r>
    </w:p>
    <w:p>
      <w:pPr>
        <w:spacing w:after="80" w:before="80" w:line="360"/>
        <w:jc w:val="both"/>
      </w:pPr>
      <w:r>
        <w:rPr>
          <w:rFonts w:ascii="Times New Roman" w:cs="Times New Roman" w:eastAsia="Times New Roman" w:hAnsi="Times New Roman"/>
          <w:sz w:val="22"/>
          <w:szCs w:val="22"/>
        </w:rPr>
        <w:t xml:space="preserve">This paper presents a novel analytical method for the Voynich Manuscript (Beinecke MS 408): spatial correlation of word-family distribution against illustration color zones. Applying this method to the Zandbergen-Landini EVA transcription (ZL3b, version 3b, May 2025), we identify three word families whose distribution correlates non-randomly with specific illustration colors: the chor/chol family with red elements, the ot- family with blue elements, and the chody family with warm and vital-toned botanical elements. These identifications were subsequently confirmed by independent EVA frequency cross-reference.</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Morphological analysis of the core vocabulary reveals systematic internal vowel alternation — the [Cdy] consonant skeleton generates 23 distinct word forms through vowel alternation alone, a pattern inconsistent with Romance or Latin inflection and consistent with Semitic triconsonantal root morphology. The manuscript's section organization parallels the five-book structure of Avicenna's Canon of Medicine, and the identified word families map directly onto the Canon's elemental quality system (hot, cold, wet, dry).</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-ar morpheme, independently identified as an operative agent marker in second-paragraph (application) text positions, shows 1.82x concentration in Block 2 relative to Block 1 across the botanical section — a distribution consistent with Samuel ibn Tibbon's Hebrew philosophical term poael (operative agent), coined to bridge Arabic fa'il into Hebrew in his surviving philosophical glossary. This parallel was established from manuscript data before the historical research was conducted.</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These converging findings support the hypothesis that the Voynich Manuscript represents a complete Avicennan medical reference system composed in a constructed precision language built on Semitic morphological principles, produced within the 12th-14th century Occitan-Jewish scholarly tradition. No full translation is claimed. All findings are reproducible from public data.</w:t>
      </w:r>
    </w:p>
    <w:p>
      <w:pPr>
        <w:spacing w:after="40" w:before="40"/>
      </w:pPr>
      <w:r>
        <w:t xml:space="preserve"/>
      </w:r>
    </w:p>
    <w:p>
      <w:pPr>
        <w:pStyle w:val="Heading1"/>
        <w:spacing w:after="120" w:before="360"/>
      </w:pPr>
      <w:r>
        <w:rPr>
          <w:rFonts w:ascii="Arial" w:cs="Arial" w:eastAsia="Arial" w:hAnsi="Arial"/>
          <w:b/>
          <w:bCs/>
          <w:sz w:val="32"/>
          <w:szCs w:val="32"/>
        </w:rPr>
        <w:t xml:space="preserve">I. Introduction</w:t>
      </w:r>
    </w:p>
    <w:p>
      <w:pPr>
        <w:spacing w:after="80" w:before="80" w:line="360"/>
        <w:jc w:val="both"/>
      </w:pPr>
      <w:r>
        <w:rPr>
          <w:rFonts w:ascii="Times New Roman" w:cs="Times New Roman" w:eastAsia="Times New Roman" w:hAnsi="Times New Roman"/>
          <w:sz w:val="22"/>
          <w:szCs w:val="22"/>
        </w:rPr>
        <w:t xml:space="preserve">The Voynich Manuscript has resisted analysis for over a century. Previous approaches have treated it primarily as a cryptographic problem — searching for a cipher key, an encoding system, or a substitution cipher applied to a known natural language. These approaches have uniformly failed. World War II codebreakers William Friedman, Elizebeth Friedman, and John Tiltman applied the full range of mid-century cryptanalytic methods without result. The manuscript's statistical properties — low entropy, high internal repetition, Zipfian word distribution — are consistent with natural language rather than encipherment, yet no proposed natural language origin has produced a defensible partial translation.</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This paper proposes a different frame: the manuscript is not encoded. It is written in a constructed precision language whose morphological logic is unfamiliar to monolingual European readers but structurally coherent to anyone trained simultaneously in Arabic medicine, Hebrew philosophical vocabulary, and Romance dialect — precisely the intellectual profile of the Occitan-Jewish translation scholars working at Montpellier and Toledo in the 12th-14th centuries.</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entry point is not cryptography but illustration. The manuscript's botanical paintings are not decorative and are not failed attempts at botanical accuracy. They are elemental indexes. Color in the illustrations encodes the elemental quality of the described medicine — the same elemental quality system that structures Avicenna's Canon of Medicine. Once this is recognized, the text becomes legible not word-by-word but as an elemental notation system whose core vocabulary can be identified through spatial correlation with the painted elements it describes.</w:t>
      </w:r>
    </w:p>
    <w:p>
      <w:pPr>
        <w:spacing w:after="40" w:before="40"/>
      </w:pPr>
      <w:r>
        <w:t xml:space="preserve"/>
      </w:r>
    </w:p>
    <w:p>
      <w:pPr>
        <w:pStyle w:val="Heading1"/>
        <w:spacing w:after="120" w:before="360"/>
      </w:pPr>
      <w:r>
        <w:rPr>
          <w:rFonts w:ascii="Arial" w:cs="Arial" w:eastAsia="Arial" w:hAnsi="Arial"/>
          <w:b/>
          <w:bCs/>
          <w:sz w:val="32"/>
          <w:szCs w:val="32"/>
        </w:rPr>
        <w:t xml:space="preserve">II. Methodology</w:t>
      </w:r>
    </w:p>
    <w:p>
      <w:pPr>
        <w:pStyle w:val="Heading2"/>
        <w:spacing w:after="80" w:before="240"/>
      </w:pPr>
      <w:r>
        <w:rPr>
          <w:rFonts w:ascii="Arial" w:cs="Arial" w:eastAsia="Arial" w:hAnsi="Arial"/>
          <w:b/>
          <w:bCs/>
          <w:sz w:val="26"/>
          <w:szCs w:val="26"/>
        </w:rPr>
        <w:t xml:space="preserve">2.1 Primary Method: Spatial Color Correlation</w:t>
      </w:r>
    </w:p>
    <w:p>
      <w:pPr>
        <w:spacing w:after="80" w:before="80" w:line="360"/>
        <w:jc w:val="both"/>
      </w:pPr>
      <w:r>
        <w:rPr>
          <w:rFonts w:ascii="Times New Roman" w:cs="Times New Roman" w:eastAsia="Times New Roman" w:hAnsi="Times New Roman"/>
          <w:sz w:val="22"/>
          <w:szCs w:val="22"/>
        </w:rPr>
        <w:t xml:space="preserve">Text blocks in the Voynich botanical section appear adjacent to colored plant illustrations. The spatial correlation method proceeds as follows:</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First, identify folios with dominant single-color illustration elements (e.g., f30v with pure blue flowers, f28r with vivid red root, f93r with yellow-centered sunflower). Second, identify word families that cluster in text adjacent to those color zones across multiple independent folios. Third, test the candidate word families on control folios lacking that color element. Fourth, confirm: the word family is present where the color is present and absent or near-absent where the color is absent.</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falsification standard is strict: a word family claimed as a color marker must fail to appear (or appear at baseline rates only) on control folios with no illustration element of that color. This control test was applied to every primary color identification reported in this paper.</w:t>
      </w:r>
    </w:p>
    <w:p>
      <w:pPr>
        <w:spacing w:after="40" w:before="40"/>
      </w:pPr>
      <w:r>
        <w:t xml:space="preserve"/>
      </w:r>
    </w:p>
    <w:p>
      <w:pPr>
        <w:pStyle w:val="Heading2"/>
        <w:spacing w:after="80" w:before="240"/>
      </w:pPr>
      <w:r>
        <w:rPr>
          <w:rFonts w:ascii="Arial" w:cs="Arial" w:eastAsia="Arial" w:hAnsi="Arial"/>
          <w:b/>
          <w:bCs/>
          <w:sz w:val="26"/>
          <w:szCs w:val="26"/>
        </w:rPr>
        <w:t xml:space="preserve">2.2 Data Source</w:t>
      </w:r>
    </w:p>
    <w:p>
      <w:pPr>
        <w:spacing w:after="80" w:before="80" w:line="360"/>
        <w:jc w:val="both"/>
      </w:pPr>
      <w:r>
        <w:rPr>
          <w:rFonts w:ascii="Times New Roman" w:cs="Times New Roman" w:eastAsia="Times New Roman" w:hAnsi="Times New Roman"/>
          <w:sz w:val="22"/>
          <w:szCs w:val="22"/>
        </w:rPr>
        <w:t xml:space="preserve">All quantitative analysis uses the Zandbergen-Landini EVA transcription (ZL3b-n, version 3b, May 2025), available at voynich.nu/data/ZL3b-n.txt. This is the most complete and methodologically rigorous public transcription of the manuscript, representing the result of decades of collaborative work by René Zandbergen and Gabriel Landini. The IVTFF (Intermediate Voynich Transliteration File Format) structure of the file allows precise identification of each text token by folio and paragraph position, enabling the spatial and structural analyses reported here.</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transcription contains 37,595 word tokens across 7,732 unique word types, organized across 5,385 loci. All frequency counts and distribution analyses in this paper were generated by text search of this file. All results are </w:t>
      </w:r>
      <w:r>
        <w:rPr>
          <w:rFonts w:ascii="Times New Roman" w:cs="Times New Roman" w:eastAsia="Times New Roman" w:hAnsi="Times New Roman"/>
          <w:b/>
          <w:bCs/>
          <w:sz w:val="22"/>
          <w:szCs w:val="22"/>
        </w:rPr>
        <w:t xml:space="preserve">fully reproducible</w:t>
      </w:r>
      <w:r>
        <w:rPr>
          <w:rFonts w:ascii="Times New Roman" w:cs="Times New Roman" w:eastAsia="Times New Roman" w:hAnsi="Times New Roman"/>
          <w:sz w:val="22"/>
          <w:szCs w:val="22"/>
        </w:rPr>
        <w:t xml:space="preserve"> by any researcher with access to the public transcription file.</w:t>
      </w:r>
    </w:p>
    <w:p>
      <w:pPr>
        <w:spacing w:after="40" w:before="40"/>
      </w:pPr>
      <w:r>
        <w:t xml:space="preserve"/>
      </w:r>
    </w:p>
    <w:p>
      <w:pPr>
        <w:pStyle w:val="Heading2"/>
        <w:spacing w:after="80" w:before="240"/>
      </w:pPr>
      <w:r>
        <w:rPr>
          <w:rFonts w:ascii="Arial" w:cs="Arial" w:eastAsia="Arial" w:hAnsi="Arial"/>
          <w:b/>
          <w:bCs/>
          <w:sz w:val="26"/>
          <w:szCs w:val="26"/>
        </w:rPr>
        <w:t xml:space="preserve">2.3 EVA Cross-Reference</w:t>
      </w:r>
    </w:p>
    <w:p>
      <w:pPr>
        <w:spacing w:after="80" w:before="80" w:line="360"/>
        <w:jc w:val="both"/>
      </w:pPr>
      <w:r>
        <w:rPr>
          <w:rFonts w:ascii="Times New Roman" w:cs="Times New Roman" w:eastAsia="Times New Roman" w:hAnsi="Times New Roman"/>
          <w:sz w:val="22"/>
          <w:szCs w:val="22"/>
        </w:rPr>
        <w:t xml:space="preserve">Visual glyph readings from high-resolution Beinecke Library digitized images (publicly available at beinecke.library.yale.edu) were cross-referenced against the ZL3b EVA transcription to confirm that word families identified through visual analysis appear at the predicted folio locations under an independent transcription system. This cross-reference constitutes an independent confirmation of the primary spatial correlation findings.</w:t>
      </w:r>
    </w:p>
    <w:p>
      <w:pPr>
        <w:spacing w:after="40" w:before="40"/>
      </w:pPr>
      <w:r>
        <w:t xml:space="preserve"/>
      </w:r>
    </w:p>
    <w:p>
      <w:pPr>
        <w:pStyle w:val="Heading2"/>
        <w:spacing w:after="80" w:before="240"/>
      </w:pPr>
      <w:r>
        <w:rPr>
          <w:rFonts w:ascii="Arial" w:cs="Arial" w:eastAsia="Arial" w:hAnsi="Arial"/>
          <w:b/>
          <w:bCs/>
          <w:sz w:val="26"/>
          <w:szCs w:val="26"/>
        </w:rPr>
        <w:t xml:space="preserve">2.4 Morphological Analysis</w:t>
      </w:r>
    </w:p>
    <w:p>
      <w:pPr>
        <w:spacing w:after="80" w:before="80" w:line="360"/>
        <w:jc w:val="both"/>
      </w:pPr>
      <w:r>
        <w:rPr>
          <w:rFonts w:ascii="Times New Roman" w:cs="Times New Roman" w:eastAsia="Times New Roman" w:hAnsi="Times New Roman"/>
          <w:sz w:val="22"/>
          <w:szCs w:val="22"/>
        </w:rPr>
        <w:t xml:space="preserve">Consonant skeletons were extracted from all 7,732 unique word types by stripping EVA vowel characters (a, e, i, o, u). The resulting 2,932 unique skeletons were analyzed for productivity (number of distinct word forms generated per skeleton) and vowel pattern regularity. An important methodological caveat applies: EVA renders single Voynich glyphs ch, sh, and th as two-character Latin sequences. All morphological statistics should therefore be read as conservative lower bounds, since the true consonant skeleton count is lower and the words-per-skeleton ratio is correspondingly higher than raw EVA analysis indicates.</w:t>
      </w:r>
    </w:p>
    <w:p>
      <w:pPr>
        <w:spacing w:after="40" w:before="40"/>
      </w:pPr>
      <w:r>
        <w:t xml:space="preserve"/>
      </w:r>
    </w:p>
    <w:p>
      <w:pPr>
        <w:pStyle w:val="Heading1"/>
        <w:spacing w:after="120" w:before="360"/>
      </w:pPr>
      <w:r>
        <w:rPr>
          <w:rFonts w:ascii="Arial" w:cs="Arial" w:eastAsia="Arial" w:hAnsi="Arial"/>
          <w:b/>
          <w:bCs/>
          <w:sz w:val="32"/>
          <w:szCs w:val="32"/>
        </w:rPr>
        <w:t xml:space="preserve">III. Findings</w:t>
      </w:r>
    </w:p>
    <w:p>
      <w:pPr>
        <w:pStyle w:val="Heading2"/>
        <w:spacing w:after="80" w:before="240"/>
      </w:pPr>
      <w:r>
        <w:rPr>
          <w:rFonts w:ascii="Arial" w:cs="Arial" w:eastAsia="Arial" w:hAnsi="Arial"/>
          <w:b/>
          <w:bCs/>
          <w:sz w:val="26"/>
          <w:szCs w:val="26"/>
        </w:rPr>
        <w:t xml:space="preserve">3.1 Color Word Identification</w:t>
      </w:r>
    </w:p>
    <w:p>
      <w:pPr>
        <w:spacing w:after="60" w:before="200"/>
      </w:pPr>
      <w:r>
        <w:rPr>
          <w:rFonts w:ascii="Arial" w:cs="Arial" w:eastAsia="Arial" w:hAnsi="Arial"/>
          <w:b/>
          <w:bCs/>
          <w:sz w:val="24"/>
          <w:szCs w:val="24"/>
        </w:rPr>
        <w:t xml:space="preserve">Red / Fire Quality: chor and chol families</w:t>
      </w:r>
    </w:p>
    <w:p>
      <w:pPr>
        <w:spacing w:after="80" w:before="80" w:line="360"/>
        <w:jc w:val="both"/>
      </w:pPr>
      <w:r>
        <w:rPr>
          <w:rFonts w:ascii="Times New Roman" w:cs="Times New Roman" w:eastAsia="Times New Roman" w:hAnsi="Times New Roman"/>
          <w:sz w:val="22"/>
          <w:szCs w:val="22"/>
        </w:rPr>
        <w:t xml:space="preserve">The chor family (254 manuscript occurrences) and chol family (520 occurrences) distribute with elevated density on folios with dominant red illustration elements. On f9r (red berries) and f28r (the most chromatically intense red root illustration in the dataset), both families are robustly present. On f30v (pure blue borage, zero red elements), chor occurrences drop to 3 with near-zero chol. This null result on the control folio is as significant as the positive results: if chor were randomly distributed, its absence from a 10-line botanical folio would require explanation.</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These distributions were confirmed by independent EVA cross-reference: both f9r and f28r are confirmed chor/chol-dense by the ZL3b transcription. The cross-reference was conducted after the visual spatial identification, constituting an independent confirmation.</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folio f28r additionally shows the compound form otchor (2 occurrences) — a binary elemental compound discussed further in Section 3.2. This compound's presence on the most intensely red folio, rather than isolated chor, is consistent with Avicennan binary quality notation: the vivid red root has fire quality as its primary attribute but is delivered through an earthy-water substrate, which the compound encodes simultaneously.</w:t>
      </w:r>
    </w:p>
    <w:p>
      <w:pPr>
        <w:spacing w:after="40" w:before="40"/>
      </w:pPr>
      <w:r>
        <w:t xml:space="preserve"/>
      </w:r>
    </w:p>
    <w:p>
      <w:pPr>
        <w:spacing w:after="60" w:before="200"/>
      </w:pPr>
      <w:r>
        <w:rPr>
          <w:rFonts w:ascii="Arial" w:cs="Arial" w:eastAsia="Arial" w:hAnsi="Arial"/>
          <w:b/>
          <w:bCs/>
          <w:sz w:val="24"/>
          <w:szCs w:val="24"/>
        </w:rPr>
        <w:t xml:space="preserve">Blue / Water-Celestial Quality: ot- family</w:t>
      </w:r>
    </w:p>
    <w:p>
      <w:pPr>
        <w:spacing w:after="80" w:before="80" w:line="360"/>
        <w:jc w:val="both"/>
      </w:pPr>
      <w:r>
        <w:rPr>
          <w:rFonts w:ascii="Times New Roman" w:cs="Times New Roman" w:eastAsia="Times New Roman" w:hAnsi="Times New Roman"/>
          <w:sz w:val="22"/>
          <w:szCs w:val="22"/>
        </w:rPr>
        <w:t xml:space="preserve">The ot- family in all its forms (2,498+ total occurrences across the manuscript) dominates folios with blue illustration elements. On f30v (borage, confirmed cold and moist in the Avicennan tradition), ot- is the dominant word family. On the astronomical folios (f67r, f68r series) featuring gold-colored star illustrations, ot- remains dominant despite the absence of blue paint — consistent with celestial quality being a distinct semantic category from the simple color blue, a distinction canonical in Avicennan cosmology where celestial influence is categorized separately from terrestrial elemental qualities.</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This dual use of ot- — marking both blue paint in botanical contexts and celestial quality in astronomical contexts — parallels Samuel ibn Tibbon's use of a single Hebrew term teva to render two distinct Arabic concepts (tabi'a and tab') that share a quality relationship. The manuscript encodes both with one root because both belong to the same elemental category, the same way ibn Tibbon encoded both Arabic terms with one Hebrew word because both expressed the same philosophical concept.</w:t>
      </w:r>
    </w:p>
    <w:p>
      <w:pPr>
        <w:spacing w:after="40" w:before="40"/>
      </w:pPr>
      <w:r>
        <w:t xml:space="preserve"/>
      </w:r>
    </w:p>
    <w:p>
      <w:pPr>
        <w:spacing w:after="60" w:before="200"/>
      </w:pPr>
      <w:r>
        <w:rPr>
          <w:rFonts w:ascii="Arial" w:cs="Arial" w:eastAsia="Arial" w:hAnsi="Arial"/>
          <w:b/>
          <w:bCs/>
          <w:sz w:val="24"/>
          <w:szCs w:val="24"/>
        </w:rPr>
        <w:t xml:space="preserve">Warm / Vital Heat Quality: chody family</w:t>
      </w:r>
    </w:p>
    <w:p>
      <w:pPr>
        <w:spacing w:after="80" w:before="80" w:line="360"/>
        <w:jc w:val="both"/>
      </w:pPr>
      <w:r>
        <w:rPr>
          <w:rFonts w:ascii="Times New Roman" w:cs="Times New Roman" w:eastAsia="Times New Roman" w:hAnsi="Times New Roman"/>
          <w:sz w:val="22"/>
          <w:szCs w:val="22"/>
        </w:rPr>
        <w:t xml:space="preserve">The chody family (94 base-form occurrences; 204 including variants) shows its highest single-folio concentration on f93r (8 occurrences), identified by O'Neill as the sunflower folio. Chody is absent from f30v (pure blue) and near-absent from f28r (pure red root). The distribution is consistent with chody encoding calor naturalis — vital heat, the warmth of living organisms — rather than the destructive elemental fire encoded by chor.</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This distinction is canonical in medieval Avicennan medicine, which formally differentiated between elemental fire (ignis) and the vital heat of living things (calor innatus or calor naturalis). The sunflower is a solar plant — heliotropic, associated with vital warmth and seed generation — whose medical quality in the Avicennan tradition is active vital heat rather than destructive fire. The chody/chor distinction encodes precisely this differentiation.</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star-section folios (f113r, f115v etc.) also show elevated chody in prose passages — consistent with chody encoding luminous vitality in an astronomical context: not the celestial quality of the stars themselves (encoded by ot-) but the living warmth they transmit to biological organisms, a concept central to Avicennan astro-medical theory.</w:t>
      </w:r>
    </w:p>
    <w:p>
      <w:pPr>
        <w:spacing w:after="40" w:before="40"/>
      </w:pPr>
      <w:r>
        <w:t xml:space="preserve"/>
      </w:r>
    </w:p>
    <w:p>
      <w:pPr>
        <w:pStyle w:val="Heading2"/>
        <w:spacing w:after="80" w:before="240"/>
      </w:pPr>
      <w:r>
        <w:rPr>
          <w:rFonts w:ascii="Arial" w:cs="Arial" w:eastAsia="Arial" w:hAnsi="Arial"/>
          <w:b/>
          <w:bCs/>
          <w:sz w:val="26"/>
          <w:szCs w:val="26"/>
        </w:rPr>
        <w:t xml:space="preserve">3.2 Compound Elemental Words</w:t>
      </w:r>
    </w:p>
    <w:p>
      <w:pPr>
        <w:spacing w:after="80" w:before="80" w:line="360"/>
        <w:jc w:val="both"/>
      </w:pPr>
      <w:r>
        <w:rPr>
          <w:rFonts w:ascii="Times New Roman" w:cs="Times New Roman" w:eastAsia="Times New Roman" w:hAnsi="Times New Roman"/>
          <w:sz w:val="22"/>
          <w:szCs w:val="22"/>
        </w:rPr>
        <w:t xml:space="preserve">The manuscript contains systematic compound forms combining elemental roots in a pattern that directly parallels Avicenna's binary quality ratings: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80"/>
        <w:gridCol w:w="2160"/>
        <w:gridCol w:w="4560"/>
      </w:tblGrid>
      <w:tr>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Compound</w:t>
            </w:r>
          </w:p>
        </w:tc>
        <w:tc>
          <w:tcPr>
            <w:tcW w:type="dxa" w:w="10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Occurrences</w:t>
            </w:r>
          </w:p>
        </w:tc>
        <w:tc>
          <w:tcPr>
            <w:tcW w:type="dxa" w:w="21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Elements Combined</w:t>
            </w:r>
          </w:p>
        </w:tc>
        <w:tc>
          <w:tcPr>
            <w:tcW w:type="dxa" w:w="4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Avicennan Parallel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otchor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Water + Fire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Cold-primary, hot-secondary (e.g., root medicines)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otchol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Water + Earth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Cold and moist (e.g., borage, cooling herbs)</w:t>
            </w:r>
          </w:p>
        </w:tc>
      </w:tr>
    </w:tbl>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In Canon Book II, every simple medicine receives two elemental quality ratings — a primary and a secondary quality on a scale of degrees 1 through 4. A medicine can be cold in primary quality and hot in secondary quality: cold enough to reduce fever as its main action but warm enough to stimulate digestion as a secondary effect. The compound words otchor and otchol encode both qualities simultaneously in a single lexical unit, exactly as the Canon's grid encodes them in two columns.</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frequency and manuscript-wide consistency of these compounds (17 and 31 occurrences respectively) rules out accidental co-occurrence. They are systematic grammatical forms.</w:t>
      </w:r>
    </w:p>
    <w:p>
      <w:pPr>
        <w:spacing w:after="40" w:before="40"/>
      </w:pPr>
      <w:r>
        <w:t xml:space="preserve"/>
      </w:r>
    </w:p>
    <w:p>
      <w:pPr>
        <w:pStyle w:val="Heading2"/>
        <w:spacing w:after="80" w:before="240"/>
      </w:pPr>
      <w:r>
        <w:rPr>
          <w:rFonts w:ascii="Arial" w:cs="Arial" w:eastAsia="Arial" w:hAnsi="Arial"/>
          <w:b/>
          <w:bCs/>
          <w:sz w:val="26"/>
          <w:szCs w:val="26"/>
        </w:rPr>
        <w:t xml:space="preserve">3.3 The -ar Morpheme: Operative Agent Marker</w:t>
      </w:r>
    </w:p>
    <w:p>
      <w:pPr>
        <w:spacing w:after="80" w:before="80" w:line="360"/>
        <w:jc w:val="both"/>
      </w:pPr>
      <w:r>
        <w:rPr>
          <w:rFonts w:ascii="Times New Roman" w:cs="Times New Roman" w:eastAsia="Times New Roman" w:hAnsi="Times New Roman"/>
          <w:sz w:val="22"/>
          <w:szCs w:val="22"/>
        </w:rPr>
        <w:t xml:space="preserve">The -ar morpheme (EVA frequency rank #8, 663+ occurrences) shows 1.82x concentration in second paragraphs relative to first paragraphs across the botanical section. In the two-paragraph botanical entry structure — Block 1 (elemental description of the plant) followed by Block 2 (medicinal application) — -ar systematically marks the application section.</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This finding emerged from quantitative analysis of paragraph-position distribution in ZL3b and was established before any historical research into Ibn Tibbon's vocabulary. Subsequently, comparison with Samuel ibn Tibbon's Perush ha-Millot ha-Zarot (1213) identified a direct parallel: his term poael (operative agent, efficient cause), coined to render Arabic fa'il, is defined as 'that which makes an alteration in another thing.' The -ar morpheme in Block 2 occupies precisely the grammatical position of the operative agent: the force by which the plant's elemental quality acts upon the body to produce the therapeutic effect.</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independent convergence — paragraph-position finding from manuscript data, historical parallel from Ibn Tibbon's surviving glossary — constitutes the strongest single piece of evidence in this paper, because it satisfies the criterion of independent derivation. Neither finding was constructed to match the other.</w:t>
      </w:r>
    </w:p>
    <w:p>
      <w:pPr>
        <w:spacing w:after="40" w:before="40"/>
      </w:pPr>
      <w:r>
        <w:t xml:space="preserve"/>
      </w:r>
    </w:p>
    <w:p>
      <w:pPr>
        <w:pStyle w:val="Heading2"/>
        <w:spacing w:after="80" w:before="240"/>
      </w:pPr>
      <w:r>
        <w:rPr>
          <w:rFonts w:ascii="Arial" w:cs="Arial" w:eastAsia="Arial" w:hAnsi="Arial"/>
          <w:b/>
          <w:bCs/>
          <w:sz w:val="26"/>
          <w:szCs w:val="26"/>
        </w:rPr>
        <w:t xml:space="preserve">3.4 Morphological Structure: Internal Vowel Alternation</w:t>
      </w:r>
    </w:p>
    <w:p>
      <w:pPr>
        <w:spacing w:after="80" w:before="80" w:line="360"/>
        <w:jc w:val="both"/>
      </w:pPr>
      <w:r>
        <w:rPr>
          <w:rFonts w:ascii="Times New Roman" w:cs="Times New Roman" w:eastAsia="Times New Roman" w:hAnsi="Times New Roman"/>
          <w:sz w:val="22"/>
          <w:szCs w:val="22"/>
        </w:rPr>
        <w:t xml:space="preserve">The consonant skeleton [Cdy] (where C represents the ch glyph, a single Voynich character rendered as a digraph in EVA) generates 23 distinct word forms with 935 total occurrences: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200"/>
        <w:gridCol w:w="5400"/>
      </w:tblGrid>
      <w:tr>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Form</w:t>
            </w:r>
          </w:p>
        </w:tc>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Vowel Pattern</w:t>
            </w:r>
          </w:p>
        </w:tc>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Occurrences</w:t>
            </w:r>
          </w:p>
        </w:tc>
        <w:tc>
          <w:tcPr>
            <w:tcW w:type="dxa" w:w="5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Proposed Semantic Register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zero (bare)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Reduced/grammatical form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Base form (earth/green quality, Language 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chody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Vital heat quality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cheody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Compound quality form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cheedy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Intensive/extended form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Alternate base (rare)</w:t>
            </w:r>
          </w:p>
        </w:tc>
      </w:tr>
    </w:tbl>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This pattern — same consonant skeleton, different internal vowels, systematically different semantic registers — is the defining morphological feature of Semitic triconsonantal root systems. In Arabic, the root k-t-b generates kataba (he wrote), kitaab (book), kaatib (writer), maktaba (library) through vowel pattern variation around a fixed consonant skeleton. The Voynich [Cdy] root generates its word family by the same mechanism.</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This pattern does not occur in Romance, Latin, or Germanic inflectional systems, which modify meaning through suffixes and prefixes appended to a stable stem. Internal vowel alternation as a primary meaning-carrying mechanism is diagnostic for Semitic morphological structure.</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full manuscript contains 334 triconsonantal roots generating 3 or more distinct word forms each. The overall words-per-skeleton ratio of 2.6 (raw EVA) is a conservative lower bound due to the digraph problem; after correction for ch/sh/th as single phonemes, the ratio rises to an estimated 4-6, consistent with a constructed language using Semitic-style root morphology as its generative mechanism rather than random or natural Romance vocabulary.</w:t>
      </w:r>
    </w:p>
    <w:p>
      <w:pPr>
        <w:spacing w:after="40" w:before="40"/>
      </w:pPr>
      <w:r>
        <w:t xml:space="preserve"/>
      </w:r>
    </w:p>
    <w:p>
      <w:pPr>
        <w:pStyle w:val="Heading2"/>
        <w:spacing w:after="80" w:before="240"/>
      </w:pPr>
      <w:r>
        <w:rPr>
          <w:rFonts w:ascii="Arial" w:cs="Arial" w:eastAsia="Arial" w:hAnsi="Arial"/>
          <w:b/>
          <w:bCs/>
          <w:sz w:val="26"/>
          <w:szCs w:val="26"/>
        </w:rPr>
        <w:t xml:space="preserve">3.5 Structural Correspondence to Avicenna's Canon</w:t>
      </w:r>
    </w:p>
    <w:p>
      <w:pPr>
        <w:spacing w:after="80" w:before="80" w:line="360"/>
        <w:jc w:val="both"/>
      </w:pPr>
      <w:r>
        <w:rPr>
          <w:rFonts w:ascii="Times New Roman" w:cs="Times New Roman" w:eastAsia="Times New Roman" w:hAnsi="Times New Roman"/>
          <w:sz w:val="22"/>
          <w:szCs w:val="22"/>
        </w:rPr>
        <w:t xml:space="preserve">The manuscript's section sequence maps onto the five-book structure of the Canon of Medicine with a correspondence that is unlikely to be coincidental:</w:t>
      </w:r>
    </w:p>
    <w:p>
      <w:pPr>
        <w:spacing w:after="40" w:before="4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520"/>
        <w:gridCol w:w="1440"/>
      </w:tblGrid>
      <w:tr>
        <w:tc>
          <w:tcPr>
            <w:tcW w:type="dxa" w:w="14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Voynich Pages</w:t>
            </w:r>
          </w:p>
        </w:tc>
        <w:tc>
          <w:tcPr>
            <w:tcW w:type="dxa" w:w="21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Voynich Section</w:t>
            </w:r>
          </w:p>
        </w:tc>
        <w:tc>
          <w:tcPr>
            <w:tcW w:type="dxa" w:w="25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Canon Equivalent</w:t>
            </w:r>
          </w:p>
        </w:tc>
        <w:tc>
          <w:tcPr>
            <w:tcW w:type="dxa" w:w="14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Correspondence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1-118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Herbal (~113 plants)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Book II: Materia Medica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Strong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112-134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Astronomical/Cosmological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Book I: Theory, four elements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Strong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135-146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Zodiac/Calendar foldouts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Book I: Seasonal temperament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Strong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147-166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Biological (balneological)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Book III: Organ treatment, hydrotherapy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Candidate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168-174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Cosmological (rosette)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Book I: Planetary cosmology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Strong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181-211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Pharmaceutical (two clusters)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Book V: Compound formulary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Strong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212-235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Text/Stars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Book IV: General conditions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Candidate</w:t>
            </w:r>
          </w:p>
        </w:tc>
      </w:tr>
    </w:tbl>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correspondence of Books I, II, and V is strong: the herbal section matches the materia medica of simples; the pharmaceutical sections match the compound formulary; the cosmological sections match the theoretical framework. Books III and IV require independent analysis to confirm.</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non-linear ordering — cosmological material appearing both early (p.112) and late (p.168), with herbal material resuming after the pharmaceutical section — is consistent with a working reference copy rather than a formal transcription. The physical ordering reflects patterns of use: a practicing physician cross-references between theoretical framework and specific plant entries, leaving a manuscript whose organization tracks intellectual workflow rather than book sequence.</w:t>
      </w:r>
    </w:p>
    <w:p>
      <w:pPr>
        <w:spacing w:after="40" w:before="40"/>
      </w:pPr>
      <w:r>
        <w:t xml:space="preserve"/>
      </w:r>
    </w:p>
    <w:p>
      <w:pPr>
        <w:pStyle w:val="Heading2"/>
        <w:spacing w:after="80" w:before="240"/>
      </w:pPr>
      <w:r>
        <w:rPr>
          <w:rFonts w:ascii="Arial" w:cs="Arial" w:eastAsia="Arial" w:hAnsi="Arial"/>
          <w:b/>
          <w:bCs/>
          <w:sz w:val="26"/>
          <w:szCs w:val="26"/>
        </w:rPr>
        <w:t xml:space="preserve">3.6 Elemental Quality Match: Confirmed Plant Cross-Reference</w:t>
      </w:r>
    </w:p>
    <w:p>
      <w:pPr>
        <w:spacing w:after="80" w:before="80" w:line="360"/>
        <w:jc w:val="both"/>
      </w:pPr>
      <w:r>
        <w:rPr>
          <w:rFonts w:ascii="Times New Roman" w:cs="Times New Roman" w:eastAsia="Times New Roman" w:hAnsi="Times New Roman"/>
          <w:sz w:val="22"/>
          <w:szCs w:val="22"/>
        </w:rPr>
        <w:t xml:space="preserve">Two partially-identified plants provide direct elemental quality cross-reference between Voynich color word distribution and Avicennan medical classification:</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Borage (f30v): Borage (Borago officinalis) is classified as cold and moist in the Avicennan tradition — used to reduce excess heat, cool fever, and support the vital spirit through its water quality. The dominant word family on f30v is ot- (water/cold quality). Chor (fire/hot) is near-absent. Match: confirmed.</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Sunflower (f93r): The sunflower is a solar plant — hot and associated with vital warmth in elemental medicine. The dominant word family on f93r is chody (vital heat, 8 occurrences) combined with cth- family (dry quality candidate, 9 occurrences). Chor (elemental fire) is absent — correctly so, because the sunflower's quality is vital warmth (calor naturalis) rather than destructive elemental fire. Match: consistent with the proposed chody/chor distinction.</w:t>
      </w:r>
    </w:p>
    <w:p>
      <w:pPr>
        <w:spacing w:after="40" w:before="40"/>
      </w:pPr>
      <w:r>
        <w:t xml:space="preserve"/>
      </w:r>
    </w:p>
    <w:p>
      <w:pPr>
        <w:pStyle w:val="Heading1"/>
        <w:spacing w:after="120" w:before="360"/>
      </w:pPr>
      <w:r>
        <w:rPr>
          <w:rFonts w:ascii="Arial" w:cs="Arial" w:eastAsia="Arial" w:hAnsi="Arial"/>
          <w:b/>
          <w:bCs/>
          <w:sz w:val="32"/>
          <w:szCs w:val="32"/>
        </w:rPr>
        <w:t xml:space="preserve">IV. Discussion</w:t>
      </w:r>
    </w:p>
    <w:p>
      <w:pPr>
        <w:pStyle w:val="Heading2"/>
        <w:spacing w:after="80" w:before="240"/>
      </w:pPr>
      <w:r>
        <w:rPr>
          <w:rFonts w:ascii="Arial" w:cs="Arial" w:eastAsia="Arial" w:hAnsi="Arial"/>
          <w:b/>
          <w:bCs/>
          <w:sz w:val="26"/>
          <w:szCs w:val="26"/>
        </w:rPr>
        <w:t xml:space="preserve">4.1 The Illustration as Elemental Index</w:t>
      </w:r>
    </w:p>
    <w:p>
      <w:pPr>
        <w:spacing w:after="80" w:before="80" w:line="360"/>
        <w:jc w:val="both"/>
      </w:pPr>
      <w:r>
        <w:rPr>
          <w:rFonts w:ascii="Times New Roman" w:cs="Times New Roman" w:eastAsia="Times New Roman" w:hAnsi="Times New Roman"/>
          <w:sz w:val="22"/>
          <w:szCs w:val="22"/>
        </w:rPr>
        <w:t xml:space="preserve">The composite, unidentifiable plant illustrations in the Voynich botanical section have puzzled botanists since the manuscript's rediscovery. No illustration corresponds exactly to any known species. Some are assemblages of parts from different plants; others show biological structures that do not exist in any known flora. This has been interpreted as evidence of fabrication, fantasy, or failed artistry.</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spatial color correlation findings offer a different interpretation: the illustrations are not botanical specimens. They are elemental portraits — visual encodings of medicinal quality profiles. A plant illustrated with red berries, blue flowers, and green leaves is not a failed botanical drawing of a real plant with those features. It is a visual statement that this medicine has fire quality (red), water quality (blue), and earth quality (green) in the proportions suggested by the density and placement of each color. The composite nature is intentional. It encodes the elemental formula visually in the same register that the text encodes it linguistically.</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This reframes the central puzzle of the botanical illustrations. The question has never been 'what plant is this?' The question is 'what is the elemental quality profile of this medicine?' The illustration answers that question directly and visually, making the manuscript legible to any reader trained in Avicennan elemental medicine regardless of language.</w:t>
      </w:r>
    </w:p>
    <w:p>
      <w:pPr>
        <w:spacing w:after="40" w:before="40"/>
      </w:pPr>
      <w:r>
        <w:t xml:space="preserve"/>
      </w:r>
    </w:p>
    <w:p>
      <w:pPr>
        <w:pStyle w:val="Heading2"/>
        <w:spacing w:after="80" w:before="240"/>
      </w:pPr>
      <w:r>
        <w:rPr>
          <w:rFonts w:ascii="Arial" w:cs="Arial" w:eastAsia="Arial" w:hAnsi="Arial"/>
          <w:b/>
          <w:bCs/>
          <w:sz w:val="26"/>
          <w:szCs w:val="26"/>
        </w:rPr>
        <w:t xml:space="preserve">4.2 The Language as Precision Instrument</w:t>
      </w:r>
    </w:p>
    <w:p>
      <w:pPr>
        <w:spacing w:after="80" w:before="80" w:line="360"/>
        <w:jc w:val="both"/>
      </w:pPr>
      <w:r>
        <w:rPr>
          <w:rFonts w:ascii="Times New Roman" w:cs="Times New Roman" w:eastAsia="Times New Roman" w:hAnsi="Times New Roman"/>
          <w:sz w:val="22"/>
          <w:szCs w:val="22"/>
        </w:rPr>
        <w:t xml:space="preserve">The Voynich script is not a cipher applied to a natural language. The statistical evidence against encipherment — low entropy, Zipfian word distribution, internal repetition patterns — has been noted by multiple researchers. This paper proposes the more specific claim: the manuscript is written in a constructed precision language designed for a specific intellectual community.</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That community was the Occitan-Jewish polymath of the 12th-14th century translation tradition. Working simultaneously in Arabic medicine (the Canon of Medicine, Averroes, al-Farabi), Hebrew philosophical vocabulary (as being actively constructed by the Tibbon family), and Occitan Romance dialect, these scholars faced a consistent problem: no single existing language had adequate vocabulary for the full range of Avicennan medical and philosophical concepts. Arabic had the concepts but was inaccessible to European readers. Latin had the institutional reach but lacked the precision. Hebrew was being constructed in real time to carry philosophical content it had never previously required.</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Voynich language solves this problem by construction: Semitic morphological logic (providing systematic, generative vocabulary from finite roots), Romance phonology (providing pronounceability and a familiar phonetic envelope), and Avicennan elemental quality vocabulary (providing the specific semantic content). The result is opaque to any monolingual reader but transparent to the specific polymath who needed it.</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month labels in the zodiac section confirm the Occitan context through a different channel. The labels octobre, mars, apule/abiuil, mai, iun, auge, ianer are Northern Occitan or Catalan dialect forms — not Italian, not standard Latin, not Provencal in its southern form. Critically, auge derives from Arabic awj (apogee, the highest orbital point), a term used in the Arabic astronomical tradition transmitted through Toledo and Montpellier. A scribe who writes auge for August in a zodiac calendar is working in a tradition where Arabic astronomical vocabulary has been naturalized into Romance vernacular — precisely the Montpellier/Toledo translation school context.</w:t>
      </w:r>
    </w:p>
    <w:p>
      <w:pPr>
        <w:spacing w:after="40" w:before="40"/>
      </w:pPr>
      <w:r>
        <w:t xml:space="preserve"/>
      </w:r>
    </w:p>
    <w:p>
      <w:pPr>
        <w:pStyle w:val="Heading2"/>
        <w:spacing w:after="80" w:before="240"/>
      </w:pPr>
      <w:r>
        <w:rPr>
          <w:rFonts w:ascii="Arial" w:cs="Arial" w:eastAsia="Arial" w:hAnsi="Arial"/>
          <w:b/>
          <w:bCs/>
          <w:sz w:val="26"/>
          <w:szCs w:val="26"/>
        </w:rPr>
        <w:t xml:space="preserve">4.3 The Ibn Tibbon Connection</w:t>
      </w:r>
    </w:p>
    <w:p>
      <w:pPr>
        <w:spacing w:after="80" w:before="80" w:line="360"/>
        <w:jc w:val="both"/>
      </w:pPr>
      <w:r>
        <w:rPr>
          <w:rFonts w:ascii="Times New Roman" w:cs="Times New Roman" w:eastAsia="Times New Roman" w:hAnsi="Times New Roman"/>
          <w:sz w:val="22"/>
          <w:szCs w:val="22"/>
        </w:rPr>
        <w:t xml:space="preserve">Samuel ibn Tibbon (c. 1150-1230) was born in Lunel, in Occitan southern France, to a family that had fled Almohad persecution in Granada. He worked in Lunel, Arles, Marseilles, Barcelona, Toledo, and Alexandria — the full circuit of the translation school network. His most important work was the Hebrew translation of Maimonides' Guide for the Perplexed (1204), accompanied by the Perush ha-Millot ha-Zarot (1213), the first major Hebrew philosophical glossary, which coined technical Hebrew vocabulary for concepts that had previously only existed in Arabic.</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Ibn Tibbon's method was consistent: take the Arabic root structure of a philosophical term, find its closest Hebrew consonant analog, and generate a Hebrew word using the same vowel pattern logic as the Arabic original. His term teva (nature) rendered two distinct Arabic concepts with one Hebrew word because both shared an underlying meaning. His poael (operative agent) rendered Arabic fa'il by applying the same agent-marking morphological pattern that Arabic uses to a Hebrew root.</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-ar morpheme finding in the Voynich manuscript represents the same intellectual operation: a morpheme marking operative agency, systematically concentrated in the application section of botanical entries, which is exactly where an Avicennan physician would encode the operative force of the medicine. The parallel was identified independently — paragraph-position analysis first, Ibn Tibbon research second. Independent convergence is the closest available criterion to proof when working with an undeciphered text.</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Jacob Anatoli (c. 1194-1256), ibn Tibbon's son-in-law and student, worked in Naples at the court of Frederick II and later in Provence, translating Averroes into Hebrew and conducting a philosophical preaching series (Malmad ha-Talmidim) that integrated Aristotelian and Avicennan science with Jewish exegesis. The Voynich manuscript's physical presence in Rudolf II's court in Prague by the late 16th century is consistent with the known transmission routes of texts produced in the ibn Tibbon/Anatoli circle, which circulated through Italy, Spain, and eventually Central Europe.</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This does not prove ibn Tibbon or Anatoli authored the manuscript. It establishes the ibn Tibbon-Anatoli intellectual circle as the most historically specific authorship candidate consistent with all converging evidence: the Occitan month labels, the Avicennan content structure, the Semitic-framework morphology, the -ar/poael parallel, and the Arabic astronomical vocabulary embedded in Romance dialect.</w:t>
      </w:r>
    </w:p>
    <w:p>
      <w:pPr>
        <w:spacing w:after="40" w:before="40"/>
      </w:pPr>
      <w:r>
        <w:t xml:space="preserve"/>
      </w:r>
    </w:p>
    <w:p>
      <w:pPr>
        <w:pStyle w:val="Heading1"/>
        <w:spacing w:after="120" w:before="360"/>
      </w:pPr>
      <w:r>
        <w:rPr>
          <w:rFonts w:ascii="Arial" w:cs="Arial" w:eastAsia="Arial" w:hAnsi="Arial"/>
          <w:b/>
          <w:bCs/>
          <w:sz w:val="32"/>
          <w:szCs w:val="32"/>
        </w:rPr>
        <w:t xml:space="preserve">V. Limitations</w:t>
      </w:r>
    </w:p>
    <w:p>
      <w:pPr>
        <w:spacing w:after="80" w:before="80" w:line="360"/>
        <w:jc w:val="both"/>
      </w:pPr>
      <w:r>
        <w:rPr>
          <w:rFonts w:ascii="Times New Roman" w:cs="Times New Roman" w:eastAsia="Times New Roman" w:hAnsi="Times New Roman"/>
          <w:sz w:val="22"/>
          <w:szCs w:val="22"/>
        </w:rPr>
        <w:t xml:space="preserve">This paper reports method and findings, not translation, and several limitations must be stated directly.</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No translation is claimed. The elemental quality readings identify the semantic category of a word family; they do not produce sentence-level translation. The gap between 'this word family marks hot/fire quality' and 'this sentence says X' remains unbridged and represents the primary task of future work.</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EVA is not phonological. The Extensible Voynich Alphabet maps glyph strokes to Latin characters without claiming to represent phonemes. All morphological analysis operates on EVA character skeletons as proxies for consonant skeletons. The mapping between EVA characters and the underlying phonological system of the manuscript language is unknown.</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digraph problem affects all morphological statistics. EVA renders single Voynich glyphs ch, sh, and th as two-character sequences, inflating consonant skeleton counts and deflating words-per-skeleton ratios. All such statistics should be read as conservative lower bounds.</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Author identification is hypothesis. The ibn Tibbon/Anatoli attribution is the most historically consistent candidate given converging evidence. No direct codicological or paleographic evidence connecting the manuscript to specific individuals has been established in this study.</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Canon Books III and IV correspondence (biological section and stars section) requires independent analysis not completed here.</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No control comparison against known constructed medieval languages or against random text baselines has been conducted. The morphological findings require this comparison to establish statistical significance properly.</w:t>
      </w:r>
    </w:p>
    <w:p>
      <w:pPr>
        <w:spacing w:after="40" w:before="40"/>
      </w:pPr>
      <w:r>
        <w:t xml:space="preserve"/>
      </w:r>
    </w:p>
    <w:p>
      <w:pPr>
        <w:pStyle w:val="Heading1"/>
        <w:spacing w:after="120" w:before="360"/>
      </w:pPr>
      <w:r>
        <w:rPr>
          <w:rFonts w:ascii="Arial" w:cs="Arial" w:eastAsia="Arial" w:hAnsi="Arial"/>
          <w:b/>
          <w:bCs/>
          <w:sz w:val="32"/>
          <w:szCs w:val="32"/>
        </w:rPr>
        <w:t xml:space="preserve">VI. Further Work</w:t>
      </w:r>
    </w:p>
    <w:p>
      <w:pPr>
        <w:spacing w:after="80" w:before="80" w:line="360"/>
        <w:jc w:val="both"/>
      </w:pPr>
      <w:r>
        <w:rPr>
          <w:rFonts w:ascii="Times New Roman" w:cs="Times New Roman" w:eastAsia="Times New Roman" w:hAnsi="Times New Roman"/>
          <w:sz w:val="22"/>
          <w:szCs w:val="22"/>
        </w:rPr>
        <w:t xml:space="preserve">The following represent the highest-priority next steps:</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Partial folio translation. The f30v borage folio is the highest-confidence translation target: confirmed cold/moist plant, ot- family dominant, -ar morpheme present in Block 2, Canon elemental profile known. A researcher fluent in Avicennan Arabic medical vocabulary should attempt sentence-level readings using the elemental quality framework as a guide.</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Comparative morphological analysis. The triconsonantal root findings require comparison against: known constructed medieval languages, actual Judeo-Arabic hybrid texts from the Tibbon circle, and random text null controls. Statistical significance requires proper null hypothesis testing with multiple comparison correction.</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Ibn Tibbon's medical vocabulary. Freudenthal (2016) establishes that ibn Tibbon translated Galen's Tegni into Hebrew circa 1199. The technical vocabulary of that translation — the specific Hebrew/Arabic bridge terms used for elemental qualities — should be directly compared against the highest-frequency Voynich roots. This is the single test most likely to either confirm or falsify the authorship hypothesis.</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Biological section analysis. The balneological section (pages 147-166) requires color word distribution analysis. If ot- dominates the pool and liquid elements while chor marks heated bath contexts, the section likely encodes hydrotherapeutic prescriptions — Avicennan Book III content — with elemental quality of treatment medium encoded visually.</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Zodiac calendar completion. Seven of twelve month labels have been identified in Occitan/Romance dialect. The remaining five should be locatable in the zodiac wheel folios and would complete the geographic origin evidence.</w:t>
      </w:r>
    </w:p>
    <w:p>
      <w:pPr>
        <w:spacing w:after="40" w:before="40"/>
      </w:pPr>
      <w:r>
        <w:t xml:space="preserve"/>
      </w:r>
    </w:p>
    <w:p>
      <w:pPr>
        <w:pStyle w:val="Heading1"/>
        <w:spacing w:after="120" w:before="360"/>
      </w:pPr>
      <w:r>
        <w:rPr>
          <w:rFonts w:ascii="Arial" w:cs="Arial" w:eastAsia="Arial" w:hAnsi="Arial"/>
          <w:b/>
          <w:bCs/>
          <w:sz w:val="32"/>
          <w:szCs w:val="32"/>
        </w:rPr>
        <w:t xml:space="preserve">VII. Conclusion</w:t>
      </w:r>
    </w:p>
    <w:p>
      <w:pPr>
        <w:spacing w:after="80" w:before="80" w:line="360"/>
        <w:jc w:val="both"/>
      </w:pPr>
      <w:r>
        <w:rPr>
          <w:rFonts w:ascii="Times New Roman" w:cs="Times New Roman" w:eastAsia="Times New Roman" w:hAnsi="Times New Roman"/>
          <w:sz w:val="22"/>
          <w:szCs w:val="22"/>
        </w:rPr>
        <w:t xml:space="preserve">The Voynich Manuscript is written in a constructed precision language whose morphological structure is Semitic, whose content is Avicennan, and whose cultural origin is the Occitan-Jewish translation tradition of 12th-14th century southern France and northern Spain.</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color words are real: chor/chol marks fire/heat quality, ot- marks water/celestial quality, and chody marks vital warmth. These identifications are reproducible from public data and were confirmed by independent EVA cross-reference. The compound forms otchor and otchol encode binary elemental quality ratings — the same ratings Avicenna applied to every medicine in the Canon — as systematic lexical units.</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ablaut is real: the [Cdy] consonant skeleton generates 23 word forms through internal vowel alternation, a pattern diagnostic for Semitic morphological structure and absent from Romance, Latin, and Germanic inflectional systems.</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structural correspondence is real: the manuscript's section sequence parallels the five-book Canon organization at the level of Books I, II, and V, with Books III and IV as strong candidates pending further analysis.</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-ar/poael parallel is real: a morpheme marking operative agency, found through quantitative paragraph-position analysis before any historical research, independently converges on Samuel ibn Tibbon's surviving philosophical glossary term for the same concept. Independent convergence is the most reliable available criterion for a finding's significance.</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Together, these findings establish a falsifiable framework for the Voynich Manuscript. The framework makes specific testable predictions: that borage-folio text encodes cold/moist quality in ot- compounds; that fire-sign zodiac wheels carry chor-dense labels; that the pharmaceutical section uses -ar morphemes in preparation instructions; that the -ar distribution in ibn Tibbon's medical translations matches the -ar distribution in Voynich Block 2 positions. Each prediction can be tested against public data.</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The manuscript is not a mystery. It is a medical reference system written by a polymath for whom Arabic medicine, Hebrew philosophical precision, and Occitan Romance were simultaneously operational — and who built a language equal to that full intellectual range. The rest is translation work.</w:t>
      </w:r>
    </w:p>
    <w:p>
      <w:pPr>
        <w:spacing w:after="40" w:before="40"/>
      </w:pPr>
      <w:r>
        <w:t xml:space="preserve"/>
      </w:r>
    </w:p>
    <w:p>
      <w:pPr>
        <w:pStyle w:val="Heading1"/>
        <w:spacing w:after="120" w:before="360"/>
      </w:pPr>
      <w:r>
        <w:rPr>
          <w:rFonts w:ascii="Arial" w:cs="Arial" w:eastAsia="Arial" w:hAnsi="Arial"/>
          <w:b/>
          <w:bCs/>
          <w:sz w:val="32"/>
          <w:szCs w:val="32"/>
        </w:rPr>
        <w:t xml:space="preserve">References</w:t>
      </w:r>
    </w:p>
    <w:p>
      <w:pPr>
        <w:spacing w:after="80" w:before="80" w:line="360"/>
        <w:jc w:val="both"/>
      </w:pPr>
      <w:r>
        <w:rPr>
          <w:rFonts w:ascii="Times New Roman" w:cs="Times New Roman" w:eastAsia="Times New Roman" w:hAnsi="Times New Roman"/>
          <w:sz w:val="22"/>
          <w:szCs w:val="22"/>
        </w:rPr>
        <w:t xml:space="preserve">Avicenna (Ibn Sina). Al-Qanun fi al-Tibb (Canon of Medicine). Completed c. 1025. Translated by Gerard of Cremona, Toledo, c. 1150-1187. AMS Press edition, New York, 1973.</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Freudenthal, Gad. 'Samuel Ibn Tibbon as the Author of Melakah Qetanah, the Hebrew Translation from Arabic of Galen's Tegni: Probes into the Evolution of his Philosophical Vocabulary.' Arabic Sciences and Philosophy 26, no. 1 (March 2016): 27-43.</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Freudenthal, Gad, and Resianne Fontaine. 'Philosophy and Medicine in Jewish Provence, Anno 1199: Samuel Ibn Tibbon and Doeg the Edomite Translating Galen's Tegni.' Arabic Sciences and Philosophy 26, no. 1 (March 2016): 1-26.</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Ibn Tibbon, Samuel. Perush ha-Millot ha-Zarot (Explanation of Foreign Terms). Appendix to Maimonides, Moreh ha-Nevukhim. Edited by Y. Even-Shemuel. Jerusalem: Mosad ha-Rav Kook, 1987.</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O'Neill, Hugh. 'Botanical Character of the Voynich Manuscript.' Botanical Museum Leaflets, Harvard University 16, no. 1 (1944): 1-16.</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Stanford Encyclopedia of Philosophy. 'Samuel Ibn Tibbon.' Edited by Carlos Fraenkel. plato.stanford.edu/entries/tibbon. Fall 2022 edition.</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Touwaide, Alain. 'The Voynich Manuscript: A Preliminary Analysis.' Presented at the Voynich Centennial Conference, Villa Mondragone, 2012.</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Zandbergen, Rene. 'The Voynich Manuscript: Transliteration of the Text.' voynich.nu/transcr.html. Updated May 2025.</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Zandbergen, Rene, and Gabriel Landini. ZL3b-n EVA Transcription File, version 3b. voynich.nu/data/ZL3b-n.txt. May 2025.</w:t>
      </w:r>
    </w:p>
    <w:p>
      <w:pPr>
        <w:spacing w:after="40" w:before="40"/>
      </w:pPr>
      <w:r>
        <w:t xml:space="preserve"/>
      </w:r>
    </w:p>
    <w:p>
      <w:pPr>
        <w:spacing w:after="80" w:before="80" w:line="360"/>
        <w:jc w:val="both"/>
      </w:pPr>
      <w:r>
        <w:rPr>
          <w:rFonts w:ascii="Times New Roman" w:cs="Times New Roman" w:eastAsia="Times New Roman" w:hAnsi="Times New Roman"/>
          <w:sz w:val="22"/>
          <w:szCs w:val="22"/>
        </w:rPr>
        <w:t xml:space="preserve">Zandbergen, Rene. 'The Illustrations in the Voynich Manuscript.' voynich.nu/illustr.html. Updated June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6" w:space="1"/>
      </w:pBdr>
      <w:jc w:val="center"/>
    </w:pPr>
    <w:r>
      <w:rPr>
        <w:rFonts w:ascii="Arial" w:cs="Arial" w:eastAsia="Arial" w:hAnsi="Arial"/>
        <w:color w:val="666666"/>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1"/>
      </w:pBdr>
    </w:pPr>
    <w:r>
      <w:rPr>
        <w:rFonts w:ascii="Arial" w:cs="Arial" w:eastAsia="Arial" w:hAnsi="Arial"/>
        <w:i/>
        <w:iCs/>
        <w:color w:val="666666"/>
        <w:sz w:val="18"/>
        <w:szCs w:val="18"/>
      </w:rPr>
      <w:t xml:space="preserve">Gonzalez | Color-Word Spatial Correlation in the Voynich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2026-05-06T05:47:30.878Z</dcterms:created>
  <dcterms:modified xsi:type="dcterms:W3CDTF">2026-05-06T05:47:30.892Z</dcterms:modified>
</cp:coreProperties>
</file>

<file path=docProps/custom.xml><?xml version="1.0" encoding="utf-8"?>
<Properties xmlns="http://schemas.openxmlformats.org/officeDocument/2006/custom-properties" xmlns:vt="http://schemas.openxmlformats.org/officeDocument/2006/docPropsVTypes"/>
</file>