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20"/>
        <w:jc w:val="center"/>
      </w:pPr>
      <w:r>
        <w:rPr>
          <w:rFonts w:ascii="Arial" w:cs="Arial" w:eastAsia="Arial" w:hAnsi="Arial"/>
          <w:b/>
          <w:bCs/>
          <w:sz w:val="32"/>
          <w:szCs w:val="32"/>
        </w:rPr>
        <w:t xml:space="preserve">Productive Paradigms in the Voynich Manuscript:</w:t>
      </w:r>
    </w:p>
    <w:p>
      <w:pPr>
        <w:spacing w:after="140" w:line="320"/>
        <w:jc w:val="center"/>
      </w:pPr>
      <w:r>
        <w:rPr>
          <w:rFonts w:ascii="Arial" w:cs="Arial" w:eastAsia="Arial" w:hAnsi="Arial"/>
          <w:b/>
          <w:bCs/>
          <w:sz w:val="32"/>
          <w:szCs w:val="32"/>
        </w:rPr>
        <w:t xml:space="preserve">A Distributional Analysis of ZL3b-n</w:t>
      </w:r>
    </w:p>
    <w:p>
      <w:pPr>
        <w:spacing w:after="140" w:line="320"/>
        <w:jc w:val="center"/>
      </w:pPr>
      <w:r>
        <w:rPr>
          <w:rFonts w:ascii="Arial" w:cs="Arial" w:eastAsia="Arial" w:hAnsi="Arial"/>
          <w:sz w:val="24"/>
          <w:szCs w:val="24"/>
        </w:rPr>
        <w:t xml:space="preserve">Vincent Gonzalez</w:t>
      </w:r>
    </w:p>
    <w:p>
      <w:pPr>
        <w:spacing w:after="140" w:line="320"/>
        <w:jc w:val="center"/>
      </w:pPr>
      <w:r>
        <w:rPr>
          <w:rFonts w:ascii="Arial" w:cs="Arial" w:eastAsia="Arial" w:hAnsi="Arial"/>
          <w:i/>
          <w:iCs/>
          <w:sz w:val="20"/>
          <w:szCs w:val="20"/>
        </w:rPr>
        <w:t xml:space="preserve">Independent Researcher · Cape Coral, Florida</w:t>
      </w:r>
    </w:p>
    <w:p>
      <w:pPr>
        <w:spacing w:after="140" w:line="320"/>
        <w:jc w:val="center"/>
      </w:pPr>
      <w:r>
        <w:rPr>
          <w:rFonts w:ascii="Arial" w:cs="Arial" w:eastAsia="Arial" w:hAnsi="Arial"/>
          <w:i/>
          <w:iCs/>
          <w:sz w:val="20"/>
          <w:szCs w:val="20"/>
        </w:rPr>
        <w:t xml:space="preserve">Preprint version 1.0 · May 2026</w:t>
      </w:r>
    </w:p>
    <w:p>
      <w:pPr>
        <w:pStyle w:val="Heading2"/>
        <w:spacing w:after="160" w:before="280"/>
      </w:pPr>
      <w:r>
        <w:rPr>
          <w:rFonts w:ascii="Arial" w:cs="Arial" w:eastAsia="Arial" w:hAnsi="Arial"/>
          <w:b/>
          <w:bCs/>
          <w:sz w:val="26"/>
          <w:szCs w:val="26"/>
        </w:rPr>
        <w:t xml:space="preserve">Abstract</w:t>
      </w:r>
    </w:p>
    <w:p>
      <w:pPr>
        <w:spacing w:after="140" w:line="320"/>
      </w:pPr>
      <w:r>
        <w:rPr>
          <w:rFonts w:ascii="Arial" w:cs="Arial" w:eastAsia="Arial" w:hAnsi="Arial"/>
          <w:sz w:val="22"/>
          <w:szCs w:val="22"/>
        </w:rPr>
        <w:t xml:space="preserve">This preprint reports a distributional analysis of the Voynich Manuscript (Beinecke MS 408) using the Zandbergen–Landini EVA transcription (ZL3b-n, version 3b, May 2025). The analysis identifies a productive morphological system organised around three components: prefix-classes, fused vowel-grade-and-suffix templates of the type known in Semitic linguistics as binyanim, and consonantal root skeletons. Under this grammar 76.1 per cent of running tokens decompose into prefix-and-stem-and-template; the remaining residue is dominated by hapax compounds whose internal structure is consistent with the grammar but whose specific elements are not in the present inventory. The strongest single observation is a productive vowel-grade contrariety in which o-grade and e-grade forms of the same skeleton polarise across a substance-or-process register axis at 52 of 53 measurable minimal pairs (98.1 per cent, p ≈ 1.2 × 10⁻¹⁴). The second strongest is a corpus-wide coupling between vowel grade and suffix template (χ² = 106.1 on 25 degrees of freedom for the ch-d root alone, p ≈ 1.4 × 10⁻¹¹) which is the diagnostic morphological signature of binyan-style inflection. Three previously uncatalogued productive paradigms are reported: cth- in the herbal-A section (four forms, top section-specificity 33.6); lk- in the stars section (five forms, top section-specificity 16.2); and cheo-/sheo- in the pharmacological section (twelve forms). Two short comparative sections, against the convention of medieval encyclopedic medical works and against Book II of the Canon of Medicine, are included as comparative-typology context; no claim of textual derivation, authorship, or dating is made. The purpose of this preprint is to establish priority on the distributional observations and to make the underlying tokeniser and analysis scripts available for replication.</w:t>
      </w:r>
    </w:p>
    <w:p>
      <w:pPr>
        <w:spacing w:after="140" w:line="320"/>
      </w:pPr>
      <w:r>
        <w:rPr>
          <w:rFonts w:ascii="Arial" w:cs="Arial" w:eastAsia="Arial" w:hAnsi="Arial"/>
          <w:b/>
          <w:bCs/>
          <w:sz w:val="22"/>
          <w:szCs w:val="22"/>
        </w:rPr>
        <w:t xml:space="preserve">Keywords: </w:t>
      </w:r>
      <w:r>
        <w:rPr>
          <w:rFonts w:ascii="Arial" w:cs="Arial" w:eastAsia="Arial" w:hAnsi="Arial"/>
          <w:sz w:val="22"/>
          <w:szCs w:val="22"/>
        </w:rPr>
        <w:t xml:space="preserve">Voynich Manuscript, Beinecke MS 408, computational palaeography, distributional morphology, corpus linguistics, EVA transcription, templatic morphology.</w:t>
      </w:r>
    </w:p>
    <w:p>
      <w:pPr>
        <w:spacing w:after="140" w:line="320"/>
      </w:pPr>
      <w:r>
        <w:rPr>
          <w:rFonts w:ascii="Arial" w:cs="Arial" w:eastAsia="Arial" w:hAnsi="Arial"/>
          <w:b/>
          <w:bCs/>
          <w:sz w:val="22"/>
          <w:szCs w:val="22"/>
        </w:rPr>
        <w:t xml:space="preserve">Status convention used in this paper. </w:t>
      </w:r>
      <w:r>
        <w:rPr>
          <w:rFonts w:ascii="Arial" w:cs="Arial" w:eastAsia="Arial" w:hAnsi="Arial"/>
          <w:sz w:val="22"/>
          <w:szCs w:val="22"/>
        </w:rPr>
        <w:t xml:space="preserve">Findings are tagged</w:t>
      </w:r>
      <w:r>
        <w:rPr>
          <w:rFonts w:ascii="Arial" w:cs="Arial" w:eastAsia="Arial" w:hAnsi="Arial"/>
          <w:sz w:val="22"/>
          <w:szCs w:val="22"/>
        </w:rPr>
      </w:r>
      <w:r>
        <w:rPr>
          <w:rFonts w:ascii="Arial" w:cs="Arial" w:eastAsia="Arial" w:hAnsi="Arial"/>
          <w:sz w:val="22"/>
          <w:szCs w:val="22"/>
        </w:rPr>
        <w:t xml:space="preserve">(survived pre-registered falsification tests, replicable from the supplied scripts),</w:t>
      </w:r>
      <w:r>
        <w:rPr>
          <w:rFonts w:ascii="Arial" w:cs="Arial" w:eastAsia="Arial" w:hAnsi="Arial"/>
          <w:sz w:val="22"/>
          <w:szCs w:val="22"/>
        </w:rPr>
      </w:r>
      <w:r>
        <w:rPr>
          <w:rFonts w:ascii="Arial" w:cs="Arial" w:eastAsia="Arial" w:hAnsi="Arial"/>
          <w:sz w:val="22"/>
          <w:szCs w:val="22"/>
        </w:rPr>
        <w:t xml:space="preserve">(robust under repeated analysis but with one or more conditions to be tightened),</w:t>
      </w:r>
      <w:r>
        <w:rPr>
          <w:rFonts w:ascii="Arial" w:cs="Arial" w:eastAsia="Arial" w:hAnsi="Arial"/>
          <w:sz w:val="22"/>
          <w:szCs w:val="22"/>
        </w:rPr>
      </w:r>
      <w:r>
        <w:rPr>
          <w:rFonts w:ascii="Arial" w:cs="Arial" w:eastAsia="Arial" w:hAnsi="Arial"/>
          <w:sz w:val="22"/>
          <w:szCs w:val="22"/>
        </w:rPr>
        <w:t xml:space="preserve">(consistent with the data but not yet falsification-tested), and</w:t>
      </w:r>
      <w:r>
        <w:rPr>
          <w:rFonts w:ascii="Arial" w:cs="Arial" w:eastAsia="Arial" w:hAnsi="Arial"/>
          <w:sz w:val="22"/>
          <w:szCs w:val="22"/>
        </w:rPr>
      </w:r>
      <w:r>
        <w:rPr>
          <w:rFonts w:ascii="Arial" w:cs="Arial" w:eastAsia="Arial" w:hAnsi="Arial"/>
          <w:sz w:val="22"/>
          <w:szCs w:val="22"/>
        </w:rPr>
        <w:t xml:space="preserve">(an explicit question for further work). Confidence claims do not exceed these tags.</w:t>
      </w:r>
    </w:p>
    <w:p>
      <w:pPr>
        <w:pStyle w:val="Heading1"/>
        <w:spacing w:after="200" w:before="360"/>
      </w:pPr>
      <w:r>
        <w:rPr>
          <w:rFonts w:ascii="Arial" w:cs="Arial" w:eastAsia="Arial" w:hAnsi="Arial"/>
          <w:b/>
          <w:bCs/>
          <w:sz w:val="32"/>
          <w:szCs w:val="32"/>
        </w:rPr>
        <w:t xml:space="preserve">1. Introduction</w:t>
      </w:r>
    </w:p>
    <w:p>
      <w:pPr>
        <w:spacing w:after="140" w:line="320"/>
      </w:pPr>
      <w:r>
        <w:rPr>
          <w:rFonts w:ascii="Arial" w:cs="Arial" w:eastAsia="Arial" w:hAnsi="Arial"/>
          <w:sz w:val="22"/>
          <w:szCs w:val="22"/>
        </w:rPr>
        <w:t xml:space="preserve">The Voynich Manuscript is an illustrated codex of approximately 240 surviving folios held at the Beinecke Rare Book and Manuscript Library at Yale University as MS 408. The manuscript is written in an undeciphered script and contains botanical, balneological, cosmological, astrological, and apparently pharmacological sections. Radiocarbon dating of the vellum places its production in the early fifteenth century (Hodgins 2011; Stolfi 2013, summarising the Arizona analysis). The script, conventionally transcribed in the European Voynich Alphabet (EVA) of Zandbergen and Landini, has resisted both decipherment as a known natural language and decryption as a known cipher. The text exhibits Zipfian word-frequency behaviour (Stolfi 1997; Reddy and Knight 2011) and section-dependent register effects long noted in the literature (Currier 1976), but the underlying linguistic or notational system has not been established.</w:t>
      </w:r>
    </w:p>
    <w:p>
      <w:pPr>
        <w:spacing w:after="140" w:line="320"/>
      </w:pPr>
      <w:r>
        <w:rPr>
          <w:rFonts w:ascii="Arial" w:cs="Arial" w:eastAsia="Arial" w:hAnsi="Arial"/>
          <w:sz w:val="22"/>
          <w:szCs w:val="22"/>
        </w:rPr>
        <w:t xml:space="preserve">The present paper does not attempt decipherment. It reports a structural-morphological analysis of the corpus using distributional methods of the kind standard in corpus linguistics: tokenisation, frequency analysis, paradigm enumeration, χ² and bootstrap testing of independence and contingency claims, and section-register comparison. The aim is to characterise the morphological system that organises Voynichese tokens, regardless of what meaning, if any, the tokens carry. The argument is descriptive throughout.</w:t>
      </w:r>
    </w:p>
    <w:p>
      <w:pPr>
        <w:spacing w:after="140" w:line="320"/>
      </w:pPr>
      <w:r>
        <w:rPr>
          <w:rFonts w:ascii="Arial" w:cs="Arial" w:eastAsia="Arial" w:hAnsi="Arial"/>
          <w:sz w:val="22"/>
          <w:szCs w:val="22"/>
        </w:rPr>
        <w:t xml:space="preserve">Three motivations underlie this approach. First, prior decipherment efforts have generally proceeded from a meaning-first hypothesis (a candidate plaintext language, a candidate cipher) and worked backwards. A distributional-first approach inverts this: the morphology of the text is recoverable independently of meaning, and any successful semantic theory must in any case account for that morphology. Second, the existence of stable structural regularities is itself an empirical question, and the answer either constrains or eliminates large classes of hypotheses. A text that exhibits productive paradigm structure of the type reported here cannot be a meaningless hoax, cannot be a simple substitution cipher of a Romance or Germanic natural language, and is more constrained than glossolalia or random text generation. Third, the structural observations are reproducible from published data using openly available transcriptions, and replication is the appropriate standard for any claim about the manuscript.</w:t>
      </w:r>
    </w:p>
    <w:p>
      <w:pPr>
        <w:spacing w:after="140" w:line="320"/>
      </w:pPr>
      <w:r>
        <w:rPr>
          <w:rFonts w:ascii="Arial" w:cs="Arial" w:eastAsia="Arial" w:hAnsi="Arial"/>
          <w:sz w:val="22"/>
          <w:szCs w:val="22"/>
        </w:rPr>
        <w:t xml:space="preserve">The corpus used throughout is ZL3b-n, the Zandbergen–Landini EVA transcription, version 3b of 13 May 2025, available at voynich.nu. All numerical claims in this paper are derivable from this file using the tokeniser and analysis scripts described in the Methods section and supplied as supplementary material.</w:t>
      </w:r>
    </w:p>
    <w:p>
      <w:pPr>
        <w:pStyle w:val="Heading1"/>
        <w:spacing w:after="200" w:before="360"/>
      </w:pPr>
      <w:r>
        <w:rPr>
          <w:rFonts w:ascii="Arial" w:cs="Arial" w:eastAsia="Arial" w:hAnsi="Arial"/>
          <w:b/>
          <w:bCs/>
          <w:sz w:val="32"/>
          <w:szCs w:val="32"/>
        </w:rPr>
        <w:t xml:space="preserve">2. Methods</w:t>
      </w:r>
    </w:p>
    <w:p>
      <w:pPr>
        <w:pStyle w:val="Heading2"/>
        <w:spacing w:after="160" w:before="280"/>
      </w:pPr>
      <w:r>
        <w:rPr>
          <w:rFonts w:ascii="Arial" w:cs="Arial" w:eastAsia="Arial" w:hAnsi="Arial"/>
          <w:b/>
          <w:bCs/>
          <w:sz w:val="26"/>
          <w:szCs w:val="26"/>
        </w:rPr>
        <w:t xml:space="preserve">2.1 Tokenisation</w:t>
      </w:r>
    </w:p>
    <w:p>
      <w:pPr>
        <w:spacing w:after="140" w:line="320"/>
      </w:pPr>
      <w:r>
        <w:rPr>
          <w:rFonts w:ascii="Arial" w:cs="Arial" w:eastAsia="Arial" w:hAnsi="Arial"/>
          <w:sz w:val="22"/>
          <w:szCs w:val="22"/>
        </w:rPr>
        <w:t xml:space="preserve">A custom tokeniser, designated v4, operates on ZL3b-n as follows. Lines beginning with the comment character (#) and lines containing only file metadata are dropped. Within a line, locus headers of the form &lt;fNN.LL,PP&gt; are recorded for folio attribution and then stripped. Inline layout markers (&lt;%&gt;, &lt;$&gt;, &lt;!…&gt;) are removed. Bracketed alternative readings of the form [a:b] are resolved to the first reading. Scribal annotations enclosed in curly braces are dropped. Special-glyph markers of the form @NNN; are dropped. Within the resulting line, tokens are separated by any of the characters period, comma, or whitespace; this matches the dominant convention in published Voynich corpus work (Stolfi 1997; Reddy and Knight 2011; Bowern and Lindemann 2021). Tokens containing the uncertainty markers ?, *, or ! are dropped. Pure-punctuation tokens are dropped.</w:t>
      </w:r>
    </w:p>
    <w:p>
      <w:pPr>
        <w:spacing w:after="140" w:line="320"/>
      </w:pPr>
      <w:r>
        <w:rPr>
          <w:rFonts w:ascii="Arial" w:cs="Arial" w:eastAsia="Arial" w:hAnsi="Arial"/>
          <w:sz w:val="22"/>
          <w:szCs w:val="22"/>
        </w:rPr>
        <w:t xml:space="preserve">Under the v4 tokeniser, ZL3b-n yields 38,063 tokens distributed across 8,302 types and 184 folios with extractable running text. The hapax legomena count is 5,862 (70.6 per cent of types), 2,440 types appear twice or more, and 961 types appear five or more times. The distribution is heavily right-skewed in the manner expected of natural-language or natural-language-like corpora and is inconsistent with uniform or near-uniform token distribution. The full tokeniser is supplied as a Python file in the supplementary materials.</w:t>
      </w:r>
    </w:p>
    <w:p>
      <w:pPr>
        <w:spacing w:after="140" w:line="320"/>
      </w:pPr>
      <w:r>
        <w:rPr>
          <w:rFonts w:ascii="Arial" w:cs="Arial" w:eastAsia="Arial" w:hAnsi="Arial"/>
          <w:sz w:val="22"/>
          <w:szCs w:val="22"/>
        </w:rPr>
        <w:t xml:space="preserve">Differences between the v4 token count and counts reported in earlier work are entirely attributable to tokenisation policy (treatment of commas, of bracketed alternatives, and of uncertainty markers). All counts in this paper are internally consistent under v4; readers requiring direct comparison with other tokenisations should re-run the relevant statistics under their preferred policy. The supplementary scripts make this straightforward.</w:t>
      </w:r>
    </w:p>
    <w:p>
      <w:pPr>
        <w:pStyle w:val="Heading2"/>
        <w:spacing w:after="160" w:before="280"/>
      </w:pPr>
      <w:r>
        <w:rPr>
          <w:rFonts w:ascii="Arial" w:cs="Arial" w:eastAsia="Arial" w:hAnsi="Arial"/>
          <w:b/>
          <w:bCs/>
          <w:sz w:val="26"/>
          <w:szCs w:val="26"/>
        </w:rPr>
        <w:t xml:space="preserve">2.2 Section assignments</w:t>
      </w:r>
    </w:p>
    <w:p>
      <w:pPr>
        <w:spacing w:after="140" w:line="320"/>
      </w:pPr>
      <w:r>
        <w:rPr>
          <w:rFonts w:ascii="Arial" w:cs="Arial" w:eastAsia="Arial" w:hAnsi="Arial"/>
          <w:sz w:val="22"/>
          <w:szCs w:val="22"/>
        </w:rPr>
        <w:t xml:space="preserve">Folio-to-section assignments follow the conventional Voynich section labels (Currier 1976; Pelling 2006; Davis 2020). The corpus is divided into six sections with at least one hundred running tokens each: herbal-A (110 folios, 9,575 tokens), stars (23 folios, 10,850 tokens), balneo (20 folios, 9,255 tokens), pharm-herbal (32 folios, 3,820 tokens), cosmo (7 folios, 2,609 tokens), and cosmo/zodiac (26 folios, 1,949 tokens). The rosettes section (six folios) is excluded from cross-section rate statistics on grounds of insufficient running text. The section-assignment table is supplied as a CSV in the supplementary materials.</w:t>
      </w:r>
    </w:p>
    <w:p>
      <w:pPr>
        <w:pStyle w:val="Heading2"/>
        <w:spacing w:after="160" w:before="280"/>
      </w:pPr>
      <w:r>
        <w:rPr>
          <w:rFonts w:ascii="Arial" w:cs="Arial" w:eastAsia="Arial" w:hAnsi="Arial"/>
          <w:b/>
          <w:bCs/>
          <w:sz w:val="26"/>
          <w:szCs w:val="26"/>
        </w:rPr>
        <w:t xml:space="preserve">2.3 Statistical conventions</w:t>
      </w:r>
    </w:p>
    <w:p>
      <w:pPr>
        <w:spacing w:after="140" w:line="320"/>
      </w:pPr>
      <w:r>
        <w:rPr>
          <w:rFonts w:ascii="Arial" w:cs="Arial" w:eastAsia="Arial" w:hAnsi="Arial"/>
          <w:sz w:val="22"/>
          <w:szCs w:val="22"/>
        </w:rPr>
        <w:t xml:space="preserve">Rate statistics are reported per one thousand tokens, computed as (raw count in section / total tokens in section) × 1,000. Cross-section uniformity is summarised by the coefficient of variation (standard deviation divided by mean) across the six measured sections. Independence claims for two-way contingency tables are tested with the χ² statistic, with degrees of freedom equal to (rows − 1) × (cols − 1) after removal of empty rows or columns. p-values for χ² are approximated by the Wilson–Hilferty transformation, which is accurate at the relevant degrees of freedom. Binomial p-values for direction-of-flip tests are computed exactly. Bootstrap tests draw 2,000 random samples without replacement from the relevant token pool and report the percentile at which the observed value falls; pre-registered null thresholds are stated at each test.</w:t>
      </w:r>
    </w:p>
    <w:p>
      <w:pPr>
        <w:spacing w:after="140" w:line="320"/>
      </w:pPr>
      <w:r>
        <w:rPr>
          <w:rFonts w:ascii="Arial" w:cs="Arial" w:eastAsia="Arial" w:hAnsi="Arial"/>
          <w:sz w:val="22"/>
          <w:szCs w:val="22"/>
        </w:rPr>
        <w:t xml:space="preserve">Where this paper reports specificity values for section-distinctive tokens, specificity is defined as (rate per thousand in the section of interest) / (rate per thousand in all other sections combined), with a small additive constant (0.01) to prevent division by zero when a token is absent elsewhere. Specificity values above approximately 3 indicate tokens whose distribution is meaningfully section-biased; values above 10 indicate near-exclusivity to a section.</w:t>
      </w:r>
    </w:p>
    <w:p>
      <w:pPr>
        <w:pStyle w:val="Heading2"/>
        <w:spacing w:after="160" w:before="280"/>
      </w:pPr>
      <w:r>
        <w:rPr>
          <w:rFonts w:ascii="Arial" w:cs="Arial" w:eastAsia="Arial" w:hAnsi="Arial"/>
          <w:b/>
          <w:bCs/>
          <w:sz w:val="26"/>
          <w:szCs w:val="26"/>
        </w:rPr>
        <w:t xml:space="preserve">2.4 Reproducibility</w:t>
      </w:r>
    </w:p>
    <w:p>
      <w:pPr>
        <w:spacing w:after="140" w:line="320"/>
      </w:pPr>
      <w:r>
        <w:rPr>
          <w:rFonts w:ascii="Arial" w:cs="Arial" w:eastAsia="Arial" w:hAnsi="Arial"/>
          <w:sz w:val="22"/>
          <w:szCs w:val="22"/>
        </w:rPr>
        <w:t xml:space="preserve">All findings reported below are reproducible from the ZL3b-n corpus file, the tokeniser script, and the analysis scripts supplied as supplementary materials. Each statistical claim in the Results sections is accompanied by the relevant script reference. The author invites independent verification and welcomes correspondence on tokenisation-policy alternatives.</w:t>
      </w:r>
    </w:p>
    <w:p>
      <w:pPr>
        <w:pStyle w:val="Heading1"/>
        <w:spacing w:after="200" w:before="360"/>
      </w:pPr>
      <w:r>
        <w:rPr>
          <w:rFonts w:ascii="Arial" w:cs="Arial" w:eastAsia="Arial" w:hAnsi="Arial"/>
          <w:b/>
          <w:bCs/>
          <w:sz w:val="32"/>
          <w:szCs w:val="32"/>
        </w:rPr>
        <w:t xml:space="preserve">3. Morphological coverage of the corpus</w:t>
      </w:r>
    </w:p>
    <w:p>
      <w:pPr>
        <w:spacing w:after="140" w:line="320"/>
      </w:pPr>
      <w:r>
        <w:rPr>
          <w:rFonts w:ascii="Arial" w:cs="Arial" w:eastAsia="Arial" w:hAnsi="Arial"/>
          <w:sz w:val="22"/>
          <w:szCs w:val="22"/>
        </w:rPr>
        <w:t xml:space="preserve">A decomposer was constructed implementing three classes of morphological unit observed in prior distributional work on the corpus and re-tested here. Tokens are tested in turn against the closed-class function-word inventory, against a prefix + root + binyan template, against prefix + suffix without medial root, and against root + binyan without prefix. Tokens matching none of the patterns are classified as residue.</w:t>
      </w:r>
    </w:p>
    <w:p>
      <w:pPr>
        <w:spacing w:after="140" w:line="320"/>
      </w:pPr>
      <w:r>
        <w:rPr>
          <w:rFonts w:ascii="Arial" w:cs="Arial" w:eastAsia="Arial" w:hAnsi="Arial"/>
          <w:sz w:val="22"/>
          <w:szCs w:val="22"/>
        </w:rPr>
        <w:t xml:space="preserve">The decomposer's prefix inventory comprises the high-frequency forms qok-, qot-, qo-, q-, ok-, ot-, op-, ch-, sh-, cph-, cth-, cfh-, ckh-, lk-, d-, l-, s-, y-, t-, k-, p-, f-, dor-, dar-, ol-, or-, plus their compounded variants (qoke-, qoka-, otee-, etc.). The binyan template inventory comprises the eight forms locked in prior work — -e-y, -ee-y, -eo-l, -eo-dy, -o-bare, -o-aiin, -a-bare, -a-r — together with additional templates surfaced by inspection of the residue (see Section 6 below): -air, -eol, -aiir, -es, -eos, -ckhy. The root inventory comprises the consonantal skeletons ch-, sh-, cth-, cph-, cfh-, ckh-, plus the single-glyph roots k, t, p, f, d, l, r, n. The function-word list comprises daiin, ol, ar, or, y, al, s, dy, dain, ain, aiin, a, o, l, r, dar, dor, sor, tor, kor, oiin, odain, odaiin, oaiin, daly, dair, daiir, aiir, air, aiiin.</w:t>
      </w:r>
    </w:p>
    <w:p>
      <w:pPr>
        <w:spacing w:after="140" w:line="320"/>
      </w:pPr>
      <w:r>
        <w:rPr>
          <w:rFonts w:ascii="Arial" w:cs="Arial" w:eastAsia="Arial" w:hAnsi="Arial"/>
          <w:sz w:val="22"/>
          <w:szCs w:val="22"/>
        </w:rPr>
        <w:t xml:space="preserve">Coverage of the corpus under this decomposer is reported in Table 1.</w:t>
      </w:r>
    </w:p>
    <w:p>
      <w:pPr>
        <w:spacing w:after="140" w:line="320"/>
      </w:pPr>
      <w:r>
        <w:rPr>
          <w:rFonts w:ascii="Arial" w:cs="Arial" w:eastAsia="Arial" w:hAnsi="Arial"/>
          <w:b/>
          <w:bCs/>
          <w:sz w:val="22"/>
          <w:szCs w:val="22"/>
        </w:rPr>
        <w:t xml:space="preserve">Table 1.</w:t>
      </w:r>
      <w:r>
        <w:rPr>
          <w:rFonts w:ascii="Arial" w:cs="Arial" w:eastAsia="Arial" w:hAnsi="Arial"/>
          <w:sz w:val="22"/>
          <w:szCs w:val="22"/>
        </w:rPr>
        <w:t xml:space="preserve"> Morphological coverage of ZL3b-n under the v4 decomposer.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00"/>
        <w:gridCol w:w="1600"/>
        <w:gridCol w:w="1660"/>
      </w:tblGrid>
      <w:tr>
        <w:tc>
          <w:tcPr>
            <w:tcW w:type="dxa" w:w="3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16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Token count</w:t>
            </w:r>
          </w:p>
        </w:tc>
        <w:tc>
          <w:tcPr>
            <w:tcW w:type="dxa" w:w="15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 of 38,063</w:t>
            </w:r>
          </w:p>
        </w:tc>
        <w:tc>
          <w:tcPr>
            <w:tcW w:type="dxa" w:w="16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Type count</w:t>
            </w:r>
          </w:p>
        </w:tc>
        <w:tc>
          <w:tcPr>
            <w:tcW w:type="dxa" w:w="16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 of 8,302</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FUNCTION (closed-class)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5,677</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14.9</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1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0.4</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FULL (prefix + root + binyan)</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9,242</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24.3</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1,134</w:t>
            </w:r>
          </w:p>
        </w:tc>
        <w:tc>
          <w:tcPr>
            <w:tcW w:type="dxa" w:w="1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13.7</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 + SUF (prefix + binyan, no medial root)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10,829</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28.5</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332</w:t>
            </w:r>
          </w:p>
        </w:tc>
        <w:tc>
          <w:tcPr>
            <w:tcW w:type="dxa" w:w="1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ROOT + BIN (root + binyan, no prefix)</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198</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0.5</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0.1</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 + ROOT (prefix + root, no binyan)</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2,821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7.4</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1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SUFFIX ALONE</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131</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0.3</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ROOT ONLY</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0.2</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0.1</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RESIDUE (unaccounted)</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9,081</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23.9</w:t>
            </w:r>
          </w:p>
        </w:tc>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6,157</w:t>
            </w:r>
          </w:p>
        </w:tc>
        <w:tc>
          <w:tcPr>
            <w:tcW w:type="dxa" w:w="1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74.2</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TOTAL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38,063</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8,302</w:t>
            </w:r>
          </w:p>
        </w:tc>
        <w:tc>
          <w:tcPr>
            <w:tcW w:type="dxa" w:w="1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100.0</w:t>
            </w:r>
          </w:p>
        </w:tc>
      </w:tr>
    </w:tbl>
    <w:p>
      <w:pPr>
        <w:spacing w:after="140" w:line="320"/>
      </w:pPr>
      <w:r>
        <w:rPr>
          <w:rFonts w:ascii="Arial" w:cs="Arial" w:eastAsia="Arial" w:hAnsi="Arial"/>
          <w:sz w:val="22"/>
          <w:szCs w:val="22"/>
        </w:rPr>
      </w:r>
      <w:r>
        <w:rPr>
          <w:rFonts w:ascii="Arial" w:cs="Arial" w:eastAsia="Arial" w:hAnsi="Arial"/>
          <w:sz w:val="22"/>
          <w:szCs w:val="22"/>
        </w:rPr>
        <w:t xml:space="preserve">76.1 per cent of running tokens in ZL3b-n decompose under the present inventory of prefix-classes, binyan templates, and consonantal roots. Of the 23.9 per cent residue, inspection of the top fifty unaccounted types by frequency (Table 2) yields immediate candidates for inventory extension: forms ending in -eol (sheol n = 109, cheol n = 168, okeol n = 63, oteol n = 36), forms ending in -air (dair n = 106, air n = 84, sair n = 29, otair n = 26), and stacked-prefix compounds with op-, lk-, and dl- (opchedy n = 49, lkchedy n = 15, dlo-… etc.). Conservative addition of -eol and -air as binyans and lk-, op-, and dl- as prefix-classes raises coverage above 80 per cent. Residue beyond that figure is dominated by hapax compounds with no obvious systematic structure, consistent with the long-tail behaviour of natural-language corpora.</w:t>
      </w:r>
    </w:p>
    <w:p>
      <w:pPr>
        <w:spacing w:after="140" w:line="320"/>
      </w:pPr>
      <w:r>
        <w:rPr>
          <w:rFonts w:ascii="Arial" w:cs="Arial" w:eastAsia="Arial" w:hAnsi="Arial"/>
          <w:b/>
          <w:bCs/>
          <w:sz w:val="22"/>
          <w:szCs w:val="22"/>
        </w:rPr>
        <w:t xml:space="preserve">Table 2.</w:t>
      </w:r>
      <w:r>
        <w:rPr>
          <w:rFonts w:ascii="Arial" w:cs="Arial" w:eastAsia="Arial" w:hAnsi="Arial"/>
          <w:sz w:val="22"/>
          <w:szCs w:val="22"/>
        </w:rPr>
        <w:t xml:space="preserve"> Top fifteen residue types by frequency, with proposed extensions to the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c>
          <w:tcPr>
            <w:tcW w:type="dxa" w:w="2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Residue type</w:t>
            </w:r>
          </w:p>
        </w:tc>
        <w:tc>
          <w:tcPr>
            <w:tcW w:type="dxa" w:w="1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Token count</w:t>
            </w:r>
          </w:p>
        </w:tc>
        <w:tc>
          <w:tcPr>
            <w:tcW w:type="dxa" w:w="49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Proposed inventory addition</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sheol</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109</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binyan -eol (sh- root + -eol)</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dair</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106</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binyan -air (d- root + -air)</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air</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binyan -air as free particle</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odaiin</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prefix o- + closed-class daiin</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okeol</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63</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binyan -eol (ok-ee- + -ol)</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opchedy</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prefix op- + ch-d-e-dy</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sheo</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free particle / sh- + eo-grade marker</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sheor</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binyan -or with sh- root, eo-grade</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ody</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free particle / suffix alone</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aiiin</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variant of aiin (scribal)</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ch-root + binyan -es</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oteol</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binyan -eol (ot-e- + -ol)</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oiin</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variant of aiin / o- + iin</w:t>
            </w:r>
          </w:p>
        </w:tc>
      </w:tr>
      <w:tr>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chees</w:t>
            </w:r>
          </w:p>
        </w:tc>
        <w:tc>
          <w:tcPr>
            <w:tcW w:type="dxa" w:w="1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49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ch-root + binyan -ees</w:t>
            </w:r>
          </w:p>
        </w:tc>
      </w:tr>
      <w:tr>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sheky</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4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 + binyan -ky</w:t>
            </w:r>
          </w:p>
        </w:tc>
      </w:tr>
    </w:tbl>
    <w:p>
      <w:pPr>
        <w:spacing w:after="140" w:line="320"/>
      </w:pPr>
      <w:r>
        <w:rPr>
          <w:rFonts w:ascii="Arial" w:cs="Arial" w:eastAsia="Arial" w:hAnsi="Arial"/>
          <w:sz w:val="22"/>
          <w:szCs w:val="22"/>
        </w:rPr>
      </w:r>
      <w:r>
        <w:rPr>
          <w:rFonts w:ascii="Arial" w:cs="Arial" w:eastAsia="Arial" w:hAnsi="Arial"/>
          <w:sz w:val="22"/>
          <w:szCs w:val="22"/>
        </w:rPr>
        <w:t xml:space="preserve">The residue is overwhelmingly composed of near-misses of the existing grammar rather than tokens orthogonal to it. The corpus does not present a closed lexicon: the decomposer matches a small productive grammar applied recursively to a finite stem inventory, generating a long hapax tail. This is the profile of a natural language or a structured constructed language and is inconsistent with random generation, simple substitution, or a closed-vocabulary code.</w:t>
      </w:r>
    </w:p>
    <w:p>
      <w:pPr>
        <w:pStyle w:val="Heading1"/>
        <w:spacing w:after="200" w:before="360"/>
      </w:pPr>
      <w:r>
        <w:rPr>
          <w:rFonts w:ascii="Arial" w:cs="Arial" w:eastAsia="Arial" w:hAnsi="Arial"/>
          <w:b/>
          <w:bCs/>
          <w:sz w:val="32"/>
          <w:szCs w:val="32"/>
        </w:rPr>
        <w:t xml:space="preserve">4. The o/e vowel-grade contrariety</w:t>
      </w:r>
    </w:p>
    <w:p>
      <w:pPr>
        <w:spacing w:after="140" w:line="320"/>
      </w:pPr>
      <w:r>
        <w:rPr>
          <w:rFonts w:ascii="Arial" w:cs="Arial" w:eastAsia="Arial" w:hAnsi="Arial"/>
          <w:sz w:val="22"/>
          <w:szCs w:val="22"/>
        </w:rPr>
        <w:t xml:space="preserve">The strongest single distributional observation in this analysis is a productive vowel-grade contrariety: minimal pairs of tokens that differ only by an o-for-e substitution (or, equivalently, an eo-for-ee substitution in some templates) polarise systematically across a substance-register-versus-process-register axis.</w:t>
      </w:r>
    </w:p>
    <w:p>
      <w:pPr>
        <w:spacing w:after="140" w:line="320"/>
      </w:pPr>
      <w:r>
        <w:rPr>
          <w:rFonts w:ascii="Arial" w:cs="Arial" w:eastAsia="Arial" w:hAnsi="Arial"/>
          <w:sz w:val="22"/>
          <w:szCs w:val="22"/>
        </w:rPr>
        <w:t xml:space="preserve">The test was constructed as follows. For every token-type T containing the vowel o and occurring at least five times in ZL3b-n, candidate e-counterparts were generated by single-position substitution of e for o (and additionally of ee for eo where the substring eo occurs). A candidate counterpart was retained only if it too occurs at least five times in the corpus. This procedure yielded 83 minimal pairs. For each pair (o-form, e-form), the rate per thousand of each member was computed in the herbal-A section (the section we will later show to be the substance-pole register) and in the balneo section (the process-pole register), and the substance-lean of each member was defined as its rate in herbal-A minus its rate in balneo. The directional prediction was that the o-form should have a higher substance-lean than its e-counterpart; that is, that o-forms cluster towards the substance register and e-forms towards the process register.</w:t>
      </w:r>
    </w:p>
    <w:p>
      <w:pPr>
        <w:spacing w:after="140" w:line="320"/>
      </w:pPr>
      <w:r>
        <w:rPr>
          <w:rFonts w:ascii="Arial" w:cs="Arial" w:eastAsia="Arial" w:hAnsi="Arial"/>
          <w:sz w:val="22"/>
          <w:szCs w:val="22"/>
        </w:rPr>
        <w:t xml:space="preserve">Pairs in which the absolute difference between o-form and e-form substance-leans was below 0.5 per thousand were classified as non-measurable (the signal is below the noise floor of the corpus at this scale). Of the 83 pairs, 53 met the measurability threshold.</w:t>
      </w:r>
    </w:p>
    <w:p>
      <w:pPr>
        <w:spacing w:after="140" w:line="320"/>
      </w:pPr>
      <w:r>
        <w:rPr>
          <w:rFonts w:ascii="Arial" w:cs="Arial" w:eastAsia="Arial" w:hAnsi="Arial"/>
          <w:b/>
          <w:bCs/>
          <w:sz w:val="22"/>
          <w:szCs w:val="22"/>
        </w:rPr>
        <w:t xml:space="preserve">Result. </w:t>
      </w:r>
      <w:r>
        <w:rPr>
          <w:rFonts w:ascii="Arial" w:cs="Arial" w:eastAsia="Arial" w:hAnsi="Arial"/>
          <w:sz w:val="22"/>
          <w:szCs w:val="22"/>
        </w:rPr>
        <w:t xml:space="preserve">Of 53 measurable pairs, 52 follow the predicted direction (o-form more substance-leaning than the e-counterpart) and 1 is inverted. The flip rate is 98.1 per cent. The two-sided exact binomial p-value against a null hypothesis of no directional bias (p = 0.5) is approximately 1.2 × 10⁻¹⁴.</w:t>
      </w:r>
    </w:p>
    <w:p>
      <w:pPr>
        <w:spacing w:after="140" w:line="320"/>
      </w:pPr>
      <w:r>
        <w:rPr>
          <w:rFonts w:ascii="Arial" w:cs="Arial" w:eastAsia="Arial" w:hAnsi="Arial"/>
          <w:b/>
          <w:bCs/>
          <w:sz w:val="22"/>
          <w:szCs w:val="22"/>
        </w:rPr>
        <w:t xml:space="preserve">Table 3.</w:t>
      </w:r>
      <w:r>
        <w:rPr>
          <w:rFonts w:ascii="Arial" w:cs="Arial" w:eastAsia="Arial" w:hAnsi="Arial"/>
          <w:sz w:val="22"/>
          <w:szCs w:val="22"/>
        </w:rPr>
        <w:t xml:space="preserve"> The fifteen pairs with the largest absolute polarisation. Substance-lean values are rate per thousand in herbal-A minus rate per thousand in balneo; the delta column is the o-form substance-lean minus the e-form substance-lean (positive indicates the o-form is more substance-leaning, as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400"/>
        <w:gridCol w:w="1300"/>
        <w:gridCol w:w="800"/>
        <w:gridCol w:w="1400"/>
        <w:gridCol w:w="2360"/>
      </w:tblGrid>
      <w:tr>
        <w:tc>
          <w:tcPr>
            <w:tcW w:type="dxa" w:w="13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o-form</w:t>
            </w:r>
          </w:p>
        </w:tc>
        <w:tc>
          <w:tcPr>
            <w:tcW w:type="dxa" w:w="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n</w:t>
            </w:r>
          </w:p>
        </w:tc>
        <w:tc>
          <w:tcPr>
            <w:tcW w:type="dxa" w:w="14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subst-lean</w:t>
            </w:r>
          </w:p>
        </w:tc>
        <w:tc>
          <w:tcPr>
            <w:tcW w:type="dxa" w:w="13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e-form</w:t>
            </w:r>
          </w:p>
        </w:tc>
        <w:tc>
          <w:tcPr>
            <w:tcW w:type="dxa" w:w="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n</w:t>
            </w:r>
          </w:p>
        </w:tc>
        <w:tc>
          <w:tcPr>
            <w:tcW w:type="dxa" w:w="14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subst-lean</w:t>
            </w:r>
          </w:p>
        </w:tc>
        <w:tc>
          <w:tcPr>
            <w:tcW w:type="dxa" w:w="23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delta</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shody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+1.44</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431</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−25.18</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+26.62</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chody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+2.80</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502</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−19.10</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+21.90</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qokeody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+0.10</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qokeedy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303</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−15.81</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+15.90</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qokody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+0.63</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qokedy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270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−14.71</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+15.34</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shoy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−0.01</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272</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−7.48</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+7.47</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sho</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116</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+8.77</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+1.88</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+6.89</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otody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−1.08</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otedy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−6.02</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+4.93</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sheody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+0.19</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sheedy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−4.45</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+4.65</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qotody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−0.01</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qotedy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−4.26</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+4.25</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qoteody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−0.22</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qoteedy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77</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−4.44</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+4.22</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choy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+1.25</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−2.66</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+3.91</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okeody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+0.41</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okeedy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−3.18</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+3.59</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okody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okedy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−3.85</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+3.52</w:t>
            </w:r>
          </w:p>
        </w:tc>
      </w:tr>
      <w:tr>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oteody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41</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+0.10</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oteedy</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104</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−3.36</w:t>
            </w:r>
          </w:p>
        </w:tc>
        <w:tc>
          <w:tcPr>
            <w:tcW w:type="dxa" w:w="2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+3.45</w:t>
            </w:r>
          </w:p>
        </w:tc>
      </w:tr>
      <w:tr>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+0.82</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cheedy</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+3.42</w:t>
            </w:r>
          </w:p>
        </w:tc>
      </w:tr>
    </w:tbl>
    <w:p>
      <w:pPr>
        <w:spacing w:after="140" w:line="320"/>
      </w:pPr>
      <w:r>
        <w:rPr>
          <w:rFonts w:ascii="Arial" w:cs="Arial" w:eastAsia="Arial" w:hAnsi="Arial"/>
          <w:sz w:val="22"/>
          <w:szCs w:val="22"/>
        </w:rPr>
      </w:r>
      <w:r>
        <w:rPr>
          <w:rFonts w:ascii="Arial" w:cs="Arial" w:eastAsia="Arial" w:hAnsi="Arial"/>
          <w:sz w:val="22"/>
          <w:szCs w:val="22"/>
        </w:rPr>
        <w:t xml:space="preserve">o-grade and e-grade forms of the same consonantal-and-suffixal skeleton constitute a productive contrariety operating at the section-register level. The contrariety is observed at 98.1 per cent of measurable minimal pairs with a binomial p-value below 10⁻¹³. This is the most robust single statistical regularity in the present analysis.</w:t>
      </w:r>
    </w:p>
    <w:p>
      <w:pPr>
        <w:pStyle w:val="Heading2"/>
        <w:spacing w:after="160" w:before="280"/>
      </w:pPr>
      <w:r>
        <w:rPr>
          <w:rFonts w:ascii="Arial" w:cs="Arial" w:eastAsia="Arial" w:hAnsi="Arial"/>
          <w:b/>
          <w:bCs/>
          <w:sz w:val="26"/>
          <w:szCs w:val="26"/>
        </w:rPr>
        <w:t xml:space="preserve">4.1 What this finding establishes and does not establish</w:t>
      </w:r>
    </w:p>
    <w:p>
      <w:pPr>
        <w:spacing w:after="140" w:line="320"/>
      </w:pPr>
      <w:r>
        <w:rPr>
          <w:rFonts w:ascii="Arial" w:cs="Arial" w:eastAsia="Arial" w:hAnsi="Arial"/>
          <w:sz w:val="22"/>
          <w:szCs w:val="22"/>
        </w:rPr>
        <w:t xml:space="preserve">The contrariety operates at section-register level, not at paragraph or sentence level. Within the balneo section, e-grade forms dominate by ratios of 60:1 or greater over their o-grade counterparts; within herbal-A, the inverse holds for forms that appear at all. The contrariety is therefore a vocabulary-partitioning device: each register draws on its own pole of the vowel-grade alternation. This was tested directly in prior work by examining within-section paragraph distribution of paired forms in the balneo section; the within-paragraph hypothesis was falsified, the section-level reading retained.</w:t>
      </w:r>
    </w:p>
    <w:p>
      <w:pPr>
        <w:spacing w:after="140" w:line="320"/>
      </w:pPr>
      <w:r>
        <w:rPr>
          <w:rFonts w:ascii="Arial" w:cs="Arial" w:eastAsia="Arial" w:hAnsi="Arial"/>
          <w:sz w:val="22"/>
          <w:szCs w:val="22"/>
        </w:rPr>
        <w:t xml:space="preserve">The mechanism by which o-grade and e-grade carry their distinctive register weight is not established by this finding. In Semitic languages, paired vowel-grade alternations of this kind typically encode aspectual, modal, or voice distinctions (perfective vs imperfective, active vs passive, etc.). In Indo-European languages with productive ablaut, similar alternations encode tense-aspect or derivational class. The Voynich contrariety is consistent with either type of system, and the present data do not distinguish between them. What the contrariety does establish is that the morphological grade alternation is meaning-carrying in some sense — at minimum, register-marking — rather than orthographic variation or scribal accident.</w:t>
      </w:r>
    </w:p>
    <w:p>
      <w:pPr>
        <w:pStyle w:val="Heading1"/>
        <w:spacing w:after="200" w:before="360"/>
      </w:pPr>
      <w:r>
        <w:rPr>
          <w:rFonts w:ascii="Arial" w:cs="Arial" w:eastAsia="Arial" w:hAnsi="Arial"/>
          <w:b/>
          <w:bCs/>
          <w:sz w:val="32"/>
          <w:szCs w:val="32"/>
        </w:rPr>
        <w:t xml:space="preserve">5. Grade-and-suffix coupling: the binyan-like inflectional system</w:t>
      </w:r>
    </w:p>
    <w:p>
      <w:pPr>
        <w:spacing w:after="140" w:line="320"/>
      </w:pPr>
      <w:r>
        <w:rPr>
          <w:rFonts w:ascii="Arial" w:cs="Arial" w:eastAsia="Arial" w:hAnsi="Arial"/>
          <w:sz w:val="22"/>
          <w:szCs w:val="22"/>
        </w:rPr>
        <w:t xml:space="preserve">If the o/e contrariety of Section 4 reflects an operative vowel-grade system, a corollary follows: vowel grade and suffix should not be freely combinable. In a free three-axis system (prefix × grade × suffix), every combination of grade with suffix would appear in approximately the rates expected from the marginal frequencies of each. In a constrained system in which grade and suffix are fused into a single inflectional choice — the structural pattern known in Semitic linguistics as the binyan — certain grade-suffix combinations should be over-represented and others systematically absent.</w:t>
      </w:r>
    </w:p>
    <w:p>
      <w:pPr>
        <w:spacing w:after="140" w:line="320"/>
      </w:pPr>
      <w:r>
        <w:rPr>
          <w:rFonts w:ascii="Arial" w:cs="Arial" w:eastAsia="Arial" w:hAnsi="Arial"/>
          <w:sz w:val="22"/>
          <w:szCs w:val="22"/>
        </w:rPr>
        <w:t xml:space="preserve">This was tested on the ch-d consonantal skeleton, which yields the largest single inflectional paradigm in the corpus and which contains the locked [Cdy] ablaut system identified in prior work. All token-types matching the regular pattern ch + (grade) + d + (suffix) were extracted from the corpus, where grade ∈ {∅, e, ee, eo, o, a} and suffix ∈ {∅, y, dy, aiin, ain, al, ar}. The resulting contingency table is reported as Table 4.</w:t>
      </w:r>
    </w:p>
    <w:p>
      <w:pPr>
        <w:spacing w:after="140" w:line="320"/>
      </w:pPr>
      <w:r>
        <w:rPr>
          <w:rFonts w:ascii="Arial" w:cs="Arial" w:eastAsia="Arial" w:hAnsi="Arial"/>
          <w:b/>
          <w:bCs/>
          <w:sz w:val="22"/>
          <w:szCs w:val="22"/>
        </w:rPr>
        <w:t xml:space="preserve">Table 4.</w:t>
      </w:r>
      <w:r>
        <w:rPr>
          <w:rFonts w:ascii="Arial" w:cs="Arial" w:eastAsia="Arial" w:hAnsi="Arial"/>
          <w:sz w:val="22"/>
          <w:szCs w:val="22"/>
        </w:rPr>
        <w:t xml:space="preserve"> Grade-by-suffix contingency table for the ch-d skeleton. Cell values are aggregate token counts in ZL3b-n. The 'grade ∅' row reports forms with no medial vowel (ch + d + suffix); the 'suffix ∅' column reports forms with no terminal extension. The total represents all ch-d forms attested at least once in the corpus.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700"/>
        <w:gridCol w:w="700"/>
        <w:gridCol w:w="700"/>
        <w:gridCol w:w="800"/>
        <w:gridCol w:w="1460"/>
      </w:tblGrid>
      <w:tr>
        <w:tc>
          <w:tcPr>
            <w:tcW w:type="dxa" w:w="15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grade \ suffix</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w:t>
            </w:r>
          </w:p>
        </w:tc>
        <w:tc>
          <w:tcPr>
            <w:tcW w:type="dxa" w:w="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aiin</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ain</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al</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ar</w:t>
            </w:r>
          </w:p>
        </w:tc>
        <w:tc>
          <w:tcPr>
            <w:tcW w:type="dxa" w:w="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y</w:t>
            </w:r>
          </w:p>
        </w:tc>
        <w:tc>
          <w:tcPr>
            <w:tcW w:type="dxa" w:w="14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row total</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139</w:t>
            </w:r>
          </w:p>
        </w:tc>
        <w:tc>
          <w:tcPr>
            <w:tcW w:type="dxa" w:w="1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213</w:t>
            </w:r>
          </w:p>
        </w:tc>
      </w:tr>
      <w:tr>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4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502</w:t>
            </w:r>
          </w:p>
        </w:tc>
        <w:tc>
          <w:tcPr>
            <w:tcW w:type="dxa" w:w="1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638</w:t>
            </w:r>
          </w:p>
        </w:tc>
      </w:tr>
      <w:tr>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ee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59</w:t>
            </w:r>
          </w:p>
        </w:tc>
        <w:tc>
          <w:tcPr>
            <w:tcW w:type="dxa" w:w="14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74</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eo</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1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124</w:t>
            </w:r>
          </w:p>
        </w:tc>
      </w:tr>
      <w:tr>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14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162</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col total</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116</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43</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878</w:t>
            </w:r>
          </w:p>
        </w:tc>
        <w:tc>
          <w:tcPr>
            <w:tcW w:type="dxa" w:w="1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1,214</w:t>
            </w:r>
          </w:p>
        </w:tc>
      </w:tr>
    </w:tbl>
    <w:p>
      <w:pPr>
        <w:spacing w:after="140" w:line="320"/>
      </w:pPr>
      <w:r>
        <w:rPr>
          <w:rFonts w:ascii="Arial" w:cs="Arial" w:eastAsia="Arial" w:hAnsi="Arial"/>
          <w:b/>
          <w:bCs/>
          <w:sz w:val="22"/>
          <w:szCs w:val="22"/>
        </w:rPr>
        <w:t xml:space="preserve">Result. </w:t>
      </w:r>
      <w:r>
        <w:rPr>
          <w:rFonts w:ascii="Arial" w:cs="Arial" w:eastAsia="Arial" w:hAnsi="Arial"/>
          <w:sz w:val="22"/>
          <w:szCs w:val="22"/>
        </w:rPr>
        <w:t xml:space="preserve">χ² = 106.1 on 25 degrees of freedom, p ≈ 1.4 × 10⁻¹¹. Grade and suffix are not independent in the ch-d paradigm.</w:t>
      </w:r>
    </w:p>
    <w:p>
      <w:pPr>
        <w:spacing w:after="140" w:line="320"/>
      </w:pPr>
      <w:r>
        <w:rPr>
          <w:rFonts w:ascii="Arial" w:cs="Arial" w:eastAsia="Arial" w:hAnsi="Arial"/>
          <w:sz w:val="22"/>
          <w:szCs w:val="22"/>
        </w:rPr>
        <w:t xml:space="preserve">The signal is corpus-wide. Identical tests were run on five additional roots in prior work and reported here for completeness: the ch- root alone (χ² = 2,721.6, df = 215, p &lt; 10⁻³⁰⁰), the sh- root (χ² = 684.8, df = 85, p ≈ 10⁻⁸⁶), the no-prefix _-d skeleton (χ² = 678.3, df = 38, p ≈ 10⁻¹⁰⁰), and the no-prefix no-root pattern (χ² = 23,070.5, df = 640, p effectively zero at machine precision). Every measurable root shows the same coupling. The grade-suffix non-independence is not a property of one paradigm; it is a property of the morphology.</w:t>
      </w:r>
    </w:p>
    <w:p>
      <w:pPr>
        <w:spacing w:after="140" w:line="320"/>
      </w:pPr>
      <w:r>
        <w:rPr>
          <w:rFonts w:ascii="Arial" w:cs="Arial" w:eastAsia="Arial" w:hAnsi="Arial"/>
          <w:sz w:val="22"/>
          <w:szCs w:val="22"/>
        </w:rPr>
      </w:r>
      <w:r>
        <w:rPr>
          <w:rFonts w:ascii="Arial" w:cs="Arial" w:eastAsia="Arial" w:hAnsi="Arial"/>
          <w:sz w:val="22"/>
          <w:szCs w:val="22"/>
        </w:rPr>
        <w:t xml:space="preserve">Vowel grade and suffix are coupled across the corpus to a degree that excludes their independent free combination. The grade-suffix fusion pattern is the diagnostic structural feature of binyan-style inflection in Semitic languages, in which vowel pattern and affix together constitute a single inflectional template carrying grammatical (voice, aspect, derivational) information. The present finding establishes binyan-style morphology in the Voynich corpus; it does not establish what the individual binyanim encode semantically.</w:t>
      </w:r>
    </w:p>
    <w:p>
      <w:pPr>
        <w:pStyle w:val="Heading2"/>
        <w:spacing w:after="160" w:before="280"/>
      </w:pPr>
      <w:r>
        <w:rPr>
          <w:rFonts w:ascii="Arial" w:cs="Arial" w:eastAsia="Arial" w:hAnsi="Arial"/>
          <w:b/>
          <w:bCs/>
          <w:sz w:val="26"/>
          <w:szCs w:val="26"/>
        </w:rPr>
        <w:t xml:space="preserve">5.1 The candidate binyan inventory</w:t>
      </w:r>
    </w:p>
    <w:p>
      <w:pPr>
        <w:spacing w:after="140" w:line="320"/>
      </w:pPr>
      <w:r>
        <w:rPr>
          <w:rFonts w:ascii="Arial" w:cs="Arial" w:eastAsia="Arial" w:hAnsi="Arial"/>
          <w:sz w:val="22"/>
          <w:szCs w:val="22"/>
        </w:rPr>
        <w:t xml:space="preserve">From the corpus the following grade-suffix templates emerge with frequencies sufficient to be designated as productive binyanim. Each is named informally by its grade-and-suffix signature; canonical example tokens are given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860"/>
      </w:tblGrid>
      <w:tr>
        <w:tc>
          <w:tcPr>
            <w:tcW w:type="dxa" w:w="24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Binyan (grade + suffix)</w:t>
            </w:r>
          </w:p>
        </w:tc>
        <w:tc>
          <w:tcPr>
            <w:tcW w:type="dxa" w:w="24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Canonical example</w:t>
            </w:r>
          </w:p>
        </w:tc>
        <w:tc>
          <w:tcPr>
            <w:tcW w:type="dxa" w:w="2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Section dominance</w:t>
            </w:r>
          </w:p>
        </w:tc>
        <w:tc>
          <w:tcPr>
            <w:tcW w:type="dxa" w:w="18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 + y</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chedy, shedy, qokedy</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process register (balneo, stars)</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-ee- + y</w:t>
            </w:r>
          </w:p>
        </w:tc>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cheedy, qokeedy, sheedy</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process register, intensive</w:t>
            </w:r>
          </w:p>
        </w:tc>
        <w:tc>
          <w:tcPr>
            <w:tcW w:type="dxa" w:w="1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-eo- + l</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cheol, sheol, okeol</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pharm-herbal</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 (this paper)</w:t>
            </w:r>
          </w:p>
        </w:tc>
      </w:tr>
      <w:tr>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-eo- + dy</w:t>
            </w:r>
          </w:p>
        </w:tc>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cheody, sheody, qokeody</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pharm-herbal, intermediate</w:t>
            </w:r>
          </w:p>
        </w:tc>
        <w:tc>
          <w:tcPr>
            <w:tcW w:type="dxa" w:w="1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 + bare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chor, chol, shor, shol</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herbal-A (substance pole)</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 + aiin</w:t>
            </w:r>
          </w:p>
        </w:tc>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chodaiin, qokchodaiin</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substance + modifier</w:t>
            </w:r>
          </w:p>
        </w:tc>
        <w:tc>
          <w:tcPr>
            <w:tcW w:type="dxa" w:w="1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 + bare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cha, sha</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low-frequency</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CANDIDATE</w:t>
            </w:r>
          </w:p>
        </w:tc>
      </w:tr>
      <w:tr>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-a- + r</w:t>
            </w:r>
          </w:p>
        </w:tc>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char, shar, qokar</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uniform across sections</w:t>
            </w:r>
          </w:p>
        </w:tc>
        <w:tc>
          <w:tcPr>
            <w:tcW w:type="dxa" w:w="1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-air</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dair, sair, otair, air</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cosmo/zodiac</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CANDIDATE (this paper)</w:t>
            </w:r>
          </w:p>
        </w:tc>
      </w:tr>
      <w:tr>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-eol</w:t>
            </w:r>
          </w:p>
        </w:tc>
        <w:tc>
          <w:tcPr>
            <w:tcW w:type="dxa" w:w="2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sheol, oteol, keeol, cheol</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pharm-herbal</w:t>
            </w:r>
          </w:p>
        </w:tc>
        <w:tc>
          <w:tcPr>
            <w:tcW w:type="dxa" w:w="1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CANDIDATE (this paper)</w:t>
            </w:r>
          </w:p>
        </w:tc>
      </w:tr>
    </w:tbl>
    <w:p>
      <w:pPr>
        <w:spacing w:after="140" w:line="320"/>
      </w:pPr>
      <w:r>
        <w:rPr>
          <w:rFonts w:ascii="Arial" w:cs="Arial" w:eastAsia="Arial" w:hAnsi="Arial"/>
          <w:sz w:val="22"/>
          <w:szCs w:val="22"/>
        </w:rPr>
        <w:t xml:space="preserve">The inventory totals ten productive templates: eight locked, two newly proposed and pending falsification testing. Comparison with the Hebrew binyan system (seven templates: qal, niphal, piel, pual, hifil, hofal, hitpael) and with the Arabic Form I–X system (ten forms in the first ten) shows broadly similar pattern counts. Whether the Voynich templates map onto either system's grammatical roles is an open question and is identified as a priority test in Section 9.</w:t>
      </w:r>
    </w:p>
    <w:p>
      <w:pPr>
        <w:pStyle w:val="Heading1"/>
        <w:spacing w:after="200" w:before="360"/>
      </w:pPr>
      <w:r>
        <w:rPr>
          <w:rFonts w:ascii="Arial" w:cs="Arial" w:eastAsia="Arial" w:hAnsi="Arial"/>
          <w:b/>
          <w:bCs/>
          <w:sz w:val="32"/>
          <w:szCs w:val="32"/>
        </w:rPr>
        <w:t xml:space="preserve">6. Productive paradigms and section-specific lexica</w:t>
      </w:r>
    </w:p>
    <w:p>
      <w:pPr>
        <w:spacing w:after="140" w:line="320"/>
      </w:pPr>
      <w:r>
        <w:rPr>
          <w:rFonts w:ascii="Arial" w:cs="Arial" w:eastAsia="Arial" w:hAnsi="Arial"/>
          <w:sz w:val="22"/>
          <w:szCs w:val="22"/>
        </w:rPr>
        <w:t xml:space="preserve">Where the binyan templates of Section 5 supply the inflectional axis of the morphology, productive paradigms supply the stem axis. A paradigm here is a consonantal skeleton attested in three or more morphologically related token-forms in the corpus, differing only by prefix and binyan template. The paradigm-detection procedure strips prefix and binyan from each token-type and groups remaining skeletons; skeletons with three or more attested forms are reported. Eleven productive paradigms emerge; Table 5 summarises them.</w:t>
      </w:r>
    </w:p>
    <w:p>
      <w:pPr>
        <w:spacing w:after="140" w:line="320"/>
      </w:pPr>
      <w:r>
        <w:rPr>
          <w:rFonts w:ascii="Arial" w:cs="Arial" w:eastAsia="Arial" w:hAnsi="Arial"/>
          <w:b/>
          <w:bCs/>
          <w:sz w:val="22"/>
          <w:szCs w:val="22"/>
        </w:rPr>
        <w:t xml:space="preserve">Table 5.</w:t>
      </w:r>
      <w:r>
        <w:rPr>
          <w:rFonts w:ascii="Arial" w:cs="Arial" w:eastAsia="Arial" w:hAnsi="Arial"/>
          <w:sz w:val="22"/>
          <w:szCs w:val="22"/>
        </w:rPr>
        <w:t xml:space="preserve"> Productive paradigms in ZL3b-n with three or more attested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860"/>
        <w:gridCol w:w="1500"/>
      </w:tblGrid>
      <w:tr>
        <w:tc>
          <w:tcPr>
            <w:tcW w:type="dxa" w:w="2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Stem skeleton</w:t>
            </w:r>
          </w:p>
        </w:tc>
        <w:tc>
          <w:tcPr>
            <w:tcW w:type="dxa" w:w="15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Total tokens</w:t>
            </w:r>
          </w:p>
        </w:tc>
        <w:tc>
          <w:tcPr>
            <w:tcW w:type="dxa" w:w="15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Distinct forms</w:t>
            </w:r>
          </w:p>
        </w:tc>
        <w:tc>
          <w:tcPr>
            <w:tcW w:type="dxa" w:w="28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Section dominance</w:t>
            </w:r>
          </w:p>
        </w:tc>
        <w:tc>
          <w:tcPr>
            <w:tcW w:type="dxa" w:w="15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 (root)</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2,320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336</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uniform / corpus-wide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 (root)</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639</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194</w:t>
            </w:r>
          </w:p>
        </w:tc>
        <w:tc>
          <w:tcPr>
            <w:tcW w:type="dxa" w:w="2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uniform / corpus-wide</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 (terminator)</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1,760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146</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uniform; substance-pole tilt</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r (terminator)</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1,303</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2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uniform; substance-pole tilt</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 (root + binyan)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745</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156</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uniform; daiin-family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e (vowel root)</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661</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180</w:t>
            </w:r>
          </w:p>
        </w:tc>
        <w:tc>
          <w:tcPr>
            <w:tcW w:type="dxa" w:w="2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process-register tilt</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ed (vowel + 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57</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balneo-leaning</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STRONG</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ar (root + particle)</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uniform / corpus-wide</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cth-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≈235</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herbal-A only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 (this paper)</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lk-</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≈189</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8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stars only</w:t>
            </w:r>
          </w:p>
        </w:tc>
        <w:tc>
          <w:tcPr>
            <w:tcW w:type="dxa" w:w="1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 (this paper)</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 / sheo</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≈900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pharm-herbal only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 (this paper)</w:t>
            </w:r>
          </w:p>
        </w:tc>
      </w:tr>
    </w:tbl>
    <w:p>
      <w:pPr>
        <w:pStyle w:val="Heading2"/>
        <w:spacing w:after="160" w:before="280"/>
      </w:pPr>
      <w:r>
        <w:rPr>
          <w:rFonts w:ascii="Arial" w:cs="Arial" w:eastAsia="Arial" w:hAnsi="Arial"/>
          <w:b/>
          <w:bCs/>
          <w:sz w:val="26"/>
          <w:szCs w:val="26"/>
        </w:rPr>
        <w:t xml:space="preserve">6.1 The cth- paradigm (herbal-A)</w:t>
      </w:r>
    </w:p>
    <w:p>
      <w:pPr>
        <w:spacing w:after="140" w:line="320"/>
      </w:pPr>
      <w:r>
        <w:rPr>
          <w:rFonts w:ascii="Arial" w:cs="Arial" w:eastAsia="Arial" w:hAnsi="Arial"/>
          <w:sz w:val="22"/>
          <w:szCs w:val="22"/>
        </w:rPr>
        <w:t xml:space="preserve">The cth- skeleton is the strongest single section-specific paradigm in the corpus. Four forms are attested, each strongly concentrated in the herbal-A section. The cthor form attains specificity 33.6, the highest single specificity value of any token with at least thirty occurrences in the corpus.</w:t>
      </w:r>
    </w:p>
    <w:p>
      <w:pPr>
        <w:spacing w:after="140" w:line="320"/>
      </w:pPr>
      <w:r>
        <w:rPr>
          <w:rFonts w:ascii="Arial" w:cs="Arial" w:eastAsia="Arial" w:hAnsi="Arial"/>
          <w:b/>
          <w:bCs/>
          <w:sz w:val="22"/>
          <w:szCs w:val="22"/>
        </w:rPr>
        <w:t xml:space="preserve">Table 6.</w:t>
      </w:r>
      <w:r>
        <w:rPr>
          <w:rFonts w:ascii="Arial" w:cs="Arial" w:eastAsia="Arial" w:hAnsi="Arial"/>
          <w:sz w:val="22"/>
          <w:szCs w:val="22"/>
        </w:rPr>
        <w:t xml:space="preserve"> The cth- paradigm. Specificity is the rate per thousand in herbal-A divided by the rate per thousand across all other sections (with additive constant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Form</w:t>
            </w:r>
          </w:p>
        </w:tc>
        <w:tc>
          <w:tcPr>
            <w:tcW w:type="dxa" w:w="2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Total tokens</w:t>
            </w:r>
          </w:p>
        </w:tc>
        <w:tc>
          <w:tcPr>
            <w:tcW w:type="dxa" w:w="2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Rate per 1k in herbal-A</w:t>
            </w:r>
          </w:p>
        </w:tc>
        <w:tc>
          <w:tcPr>
            <w:tcW w:type="dxa" w:w="26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Specificity</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cthor</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3.86</w:t>
            </w:r>
          </w:p>
        </w:tc>
        <w:tc>
          <w:tcPr>
            <w:tcW w:type="dxa" w:w="2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33.6</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cthy</w:t>
            </w:r>
          </w:p>
        </w:tc>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9.09</w:t>
            </w:r>
          </w:p>
        </w:tc>
        <w:tc>
          <w:tcPr>
            <w:tcW w:type="dxa" w:w="2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27.9</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cthol</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54</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4.39</w:t>
            </w:r>
          </w:p>
        </w:tc>
        <w:tc>
          <w:tcPr>
            <w:tcW w:type="dxa" w:w="2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10.2</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cthey</w:t>
            </w:r>
          </w:p>
        </w:tc>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2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2.2</w:t>
            </w:r>
          </w:p>
        </w:tc>
      </w:tr>
    </w:tbl>
    <w:p>
      <w:pPr>
        <w:spacing w:after="140" w:line="320"/>
      </w:pPr>
      <w:r>
        <w:rPr>
          <w:rFonts w:ascii="Arial" w:cs="Arial" w:eastAsia="Arial" w:hAnsi="Arial"/>
          <w:sz w:val="22"/>
          <w:szCs w:val="22"/>
        </w:rPr>
      </w:r>
      <w:r>
        <w:rPr>
          <w:rFonts w:ascii="Arial" w:cs="Arial" w:eastAsia="Arial" w:hAnsi="Arial"/>
          <w:sz w:val="22"/>
          <w:szCs w:val="22"/>
        </w:rPr>
        <w:t xml:space="preserve">The cth- paradigm constitutes a four-form inflectional set restricted to a single section. The structural shape of a four-form contrast in a substance-cataloguing section is consistent with — but does not establish — a technical-vocabulary function such as a four-quality contrast (hot, cold, dry, moist) or a four-degree contrast. The paradigm is reported as observed; no semantic interpretation is offered.</w:t>
      </w:r>
    </w:p>
    <w:p>
      <w:pPr>
        <w:pStyle w:val="Heading2"/>
        <w:spacing w:after="160" w:before="280"/>
      </w:pPr>
      <w:r>
        <w:rPr>
          <w:rFonts w:ascii="Arial" w:cs="Arial" w:eastAsia="Arial" w:hAnsi="Arial"/>
          <w:b/>
          <w:bCs/>
          <w:sz w:val="26"/>
          <w:szCs w:val="26"/>
        </w:rPr>
        <w:t xml:space="preserve">6.2 The lk- paradigm (stars)</w:t>
      </w:r>
    </w:p>
    <w:p>
      <w:pPr>
        <w:spacing w:after="140" w:line="320"/>
      </w:pPr>
      <w:r>
        <w:rPr>
          <w:rFonts w:ascii="Arial" w:cs="Arial" w:eastAsia="Arial" w:hAnsi="Arial"/>
          <w:sz w:val="22"/>
          <w:szCs w:val="22"/>
        </w:rPr>
        <w:t xml:space="preserve">The lk- skeleton, not previously reported in the literature on EVA distributional analysis, is the most paradigm-productive stem unique to the stars section. Five forms are attested, each with section-specificity above five.</w:t>
      </w:r>
    </w:p>
    <w:p>
      <w:pPr>
        <w:spacing w:after="140" w:line="320"/>
      </w:pPr>
      <w:r>
        <w:rPr>
          <w:rFonts w:ascii="Arial" w:cs="Arial" w:eastAsia="Arial" w:hAnsi="Arial"/>
          <w:b/>
          <w:bCs/>
          <w:sz w:val="22"/>
          <w:szCs w:val="22"/>
        </w:rPr>
        <w:t xml:space="preserve">Table 7.</w:t>
      </w:r>
      <w:r>
        <w:rPr>
          <w:rFonts w:ascii="Arial" w:cs="Arial" w:eastAsia="Arial" w:hAnsi="Arial"/>
          <w:sz w:val="22"/>
          <w:szCs w:val="22"/>
        </w:rPr>
        <w:t xml:space="preserve"> The lk- paradigm. Specificity is computed against all non-stars sections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Form</w:t>
            </w:r>
          </w:p>
        </w:tc>
        <w:tc>
          <w:tcPr>
            <w:tcW w:type="dxa" w:w="2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Total tokens</w:t>
            </w:r>
          </w:p>
        </w:tc>
        <w:tc>
          <w:tcPr>
            <w:tcW w:type="dxa" w:w="2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Rate per 1k in stars</w:t>
            </w:r>
          </w:p>
        </w:tc>
        <w:tc>
          <w:tcPr>
            <w:tcW w:type="dxa" w:w="26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Specificity</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lkeey</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3.13</w:t>
            </w:r>
          </w:p>
        </w:tc>
        <w:tc>
          <w:tcPr>
            <w:tcW w:type="dxa" w:w="2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16.2</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lkain</w:t>
            </w:r>
          </w:p>
        </w:tc>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2.58</w:t>
            </w:r>
          </w:p>
        </w:tc>
        <w:tc>
          <w:tcPr>
            <w:tcW w:type="dxa" w:w="2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11.2</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lkaiin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3.59</w:t>
            </w:r>
          </w:p>
        </w:tc>
        <w:tc>
          <w:tcPr>
            <w:tcW w:type="dxa" w:w="2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10.5</w:t>
            </w:r>
          </w:p>
        </w:tc>
      </w:tr>
      <w:tr>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lkeedy</w:t>
            </w:r>
          </w:p>
        </w:tc>
        <w:tc>
          <w:tcPr>
            <w:tcW w:type="dxa" w:w="2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37</w:t>
            </w:r>
          </w:p>
        </w:tc>
        <w:tc>
          <w:tcPr>
            <w:tcW w:type="dxa" w:w="2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2.76</w:t>
            </w:r>
          </w:p>
        </w:tc>
        <w:tc>
          <w:tcPr>
            <w:tcW w:type="dxa" w:w="2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10.3</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lkar</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31</w:t>
            </w:r>
          </w:p>
        </w:tc>
        <w:tc>
          <w:tcPr>
            <w:tcW w:type="dxa" w:w="2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2.03</w:t>
            </w:r>
          </w:p>
        </w:tc>
        <w:tc>
          <w:tcPr>
            <w:tcW w:type="dxa" w:w="2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5.9</w:t>
            </w:r>
          </w:p>
        </w:tc>
      </w:tr>
    </w:tbl>
    <w:p>
      <w:pPr>
        <w:spacing w:after="140" w:line="320"/>
      </w:pPr>
      <w:r>
        <w:rPr>
          <w:rFonts w:ascii="Arial" w:cs="Arial" w:eastAsia="Arial" w:hAnsi="Arial"/>
          <w:sz w:val="22"/>
          <w:szCs w:val="22"/>
        </w:rPr>
      </w:r>
      <w:r>
        <w:rPr>
          <w:rFonts w:ascii="Arial" w:cs="Arial" w:eastAsia="Arial" w:hAnsi="Arial"/>
          <w:sz w:val="22"/>
          <w:szCs w:val="22"/>
        </w:rPr>
        <w:t xml:space="preserve">The lk- paradigm constitutes a five-form inflectional set restricted to the stars section. The presence of -eey, -ain, -aiin, -eedy, and -ar binyan templates on a single section-specific stem indicates that the section's distinctive vocabulary participates in the same inflectional grammar as the rest of the corpus rather than constituting an orthogonal symbol set. The paradigm is reported as observed; its referential function is not established.</w:t>
      </w:r>
    </w:p>
    <w:p>
      <w:pPr>
        <w:pStyle w:val="Heading2"/>
        <w:spacing w:after="160" w:before="280"/>
      </w:pPr>
      <w:r>
        <w:rPr>
          <w:rFonts w:ascii="Arial" w:cs="Arial" w:eastAsia="Arial" w:hAnsi="Arial"/>
          <w:b/>
          <w:bCs/>
          <w:sz w:val="26"/>
          <w:szCs w:val="26"/>
        </w:rPr>
        <w:t xml:space="preserve">6.3 The cheo- / sheo- paradigm (pharm-herbal)</w:t>
      </w:r>
    </w:p>
    <w:p>
      <w:pPr>
        <w:spacing w:after="140" w:line="320"/>
      </w:pPr>
      <w:r>
        <w:rPr>
          <w:rFonts w:ascii="Arial" w:cs="Arial" w:eastAsia="Arial" w:hAnsi="Arial"/>
          <w:sz w:val="22"/>
          <w:szCs w:val="22"/>
        </w:rPr>
        <w:t xml:space="preserve">The pharm-herbal section is dominated by eo-grade forms of the ch- and sh- skeletons. Twelve distinct forms are attested at five or more occurrences and with specificity above two. The paradigm extends naturally onto stacked prefixes (qok-, ok-, ot-) that elsewhere in the corpus pair with e-grade or o-grade forms.</w:t>
      </w:r>
    </w:p>
    <w:p>
      <w:pPr>
        <w:spacing w:after="140" w:line="320"/>
      </w:pPr>
      <w:r>
        <w:rPr>
          <w:rFonts w:ascii="Arial" w:cs="Arial" w:eastAsia="Arial" w:hAnsi="Arial"/>
          <w:b/>
          <w:bCs/>
          <w:sz w:val="22"/>
          <w:szCs w:val="22"/>
        </w:rPr>
        <w:t xml:space="preserve">Table 8.</w:t>
      </w:r>
      <w:r>
        <w:rPr>
          <w:rFonts w:ascii="Arial" w:cs="Arial" w:eastAsia="Arial" w:hAnsi="Arial"/>
          <w:sz w:val="22"/>
          <w:szCs w:val="22"/>
        </w:rPr>
        <w:t xml:space="preserve"> The cheo-/sheo- paradigm in pharm-herbal.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c>
          <w:tcPr>
            <w:tcW w:type="dxa" w:w="23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Form</w:t>
            </w:r>
          </w:p>
        </w:tc>
        <w:tc>
          <w:tcPr>
            <w:tcW w:type="dxa" w:w="23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Total tokens</w:t>
            </w:r>
          </w:p>
        </w:tc>
        <w:tc>
          <w:tcPr>
            <w:tcW w:type="dxa" w:w="47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Specificity to pharm-herbal</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cheol</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168</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w:t>
            </w:r>
          </w:p>
        </w:tc>
      </w:tr>
      <w:tr>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sheol</w:t>
            </w:r>
          </w:p>
        </w:tc>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109</w:t>
            </w:r>
          </w:p>
        </w:tc>
        <w:tc>
          <w:tcPr>
            <w:tcW w:type="dxa" w:w="4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3.5</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cheor</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93</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3.1</w:t>
            </w:r>
          </w:p>
        </w:tc>
      </w:tr>
      <w:tr>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sheor</w:t>
            </w:r>
          </w:p>
        </w:tc>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47</w:t>
            </w:r>
          </w:p>
        </w:tc>
        <w:tc>
          <w:tcPr>
            <w:tcW w:type="dxa" w:w="4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3.8</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cheody</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w:t>
            </w:r>
          </w:p>
        </w:tc>
      </w:tr>
      <w:tr>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cheo</w:t>
            </w:r>
          </w:p>
        </w:tc>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74</w:t>
            </w:r>
          </w:p>
        </w:tc>
        <w:tc>
          <w:tcPr>
            <w:tcW w:type="dxa" w:w="4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2.3</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sheo</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w:t>
            </w:r>
          </w:p>
        </w:tc>
      </w:tr>
      <w:tr>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sheody</w:t>
            </w:r>
          </w:p>
        </w:tc>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4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2.6</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cheos</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37</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w:t>
            </w:r>
          </w:p>
        </w:tc>
      </w:tr>
      <w:tr>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qokeol (stacked)</w:t>
            </w:r>
          </w:p>
        </w:tc>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4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10.8</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qokeody (stacked)</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9.3</w:t>
            </w:r>
          </w:p>
        </w:tc>
      </w:tr>
      <w:tr>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okeol (stacked)</w:t>
            </w:r>
          </w:p>
        </w:tc>
        <w:tc>
          <w:tcPr>
            <w:tcW w:type="dxa" w:w="2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63</w:t>
            </w:r>
          </w:p>
        </w:tc>
        <w:tc>
          <w:tcPr>
            <w:tcW w:type="dxa" w:w="4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9.2</w:t>
            </w:r>
          </w:p>
        </w:tc>
      </w:tr>
      <w:tr>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oteol (stacked)</w:t>
            </w:r>
          </w:p>
        </w:tc>
        <w:tc>
          <w:tcPr>
            <w:tcW w:type="dxa" w:w="2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4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w:t>
            </w:r>
          </w:p>
        </w:tc>
      </w:tr>
    </w:tbl>
    <w:p>
      <w:pPr>
        <w:spacing w:after="140" w:line="320"/>
      </w:pPr>
      <w:r>
        <w:rPr>
          <w:rFonts w:ascii="Arial" w:cs="Arial" w:eastAsia="Arial" w:hAnsi="Arial"/>
          <w:sz w:val="22"/>
          <w:szCs w:val="22"/>
        </w:rPr>
      </w:r>
      <w:r>
        <w:rPr>
          <w:rFonts w:ascii="Arial" w:cs="Arial" w:eastAsia="Arial" w:hAnsi="Arial"/>
          <w:sz w:val="22"/>
          <w:szCs w:val="22"/>
        </w:rPr>
        <w:t xml:space="preserve">The pharm-herbal section is structurally the eo-grade register: where balneo is dominated by e-grade and herbal-A by o-grade, pharm draws on the eo-grade vowel template across the same prefix-class system. The three sections constitute three distinct vowel-grade registers operating over a shared grammar. This three-way register partitioning is observable as a corpus-wide distributional fact, regardless of any semantic interpretation of the registers.</w:t>
      </w:r>
    </w:p>
    <w:p>
      <w:pPr>
        <w:pStyle w:val="Heading2"/>
        <w:spacing w:after="160" w:before="280"/>
      </w:pPr>
      <w:r>
        <w:rPr>
          <w:rFonts w:ascii="Arial" w:cs="Arial" w:eastAsia="Arial" w:hAnsi="Arial"/>
          <w:b/>
          <w:bCs/>
          <w:sz w:val="26"/>
          <w:szCs w:val="26"/>
        </w:rPr>
        <w:t xml:space="preserve">6.4 The chor / chol paradigm correlation</w:t>
      </w:r>
    </w:p>
    <w:p>
      <w:pPr>
        <w:spacing w:after="140" w:line="320"/>
      </w:pPr>
      <w:r>
        <w:rPr>
          <w:rFonts w:ascii="Arial" w:cs="Arial" w:eastAsia="Arial" w:hAnsi="Arial"/>
          <w:sz w:val="22"/>
          <w:szCs w:val="22"/>
        </w:rPr>
        <w:t xml:space="preserve">A separate result from the paradigm structure is worth recording for its strength. The forms chor and chol, whose meanings are unknown but which have historically been candidate terms for active and passive qualities in semantic readings of the corpus, share a single inflectional system: across the 26 prefix-wrappers that appear with both chor and chol in the corpus, the Pearson correlation of their frequencies is r = 0.9924.</w:t>
      </w:r>
    </w:p>
    <w:p>
      <w:pPr>
        <w:spacing w:after="140" w:line="320"/>
      </w:pPr>
      <w:r>
        <w:rPr>
          <w:rFonts w:ascii="Arial" w:cs="Arial" w:eastAsia="Arial" w:hAnsi="Arial"/>
          <w:b/>
          <w:bCs/>
          <w:sz w:val="22"/>
          <w:szCs w:val="22"/>
        </w:rPr>
        <w:t xml:space="preserve">Table 9.</w:t>
      </w:r>
      <w:r>
        <w:rPr>
          <w:rFonts w:ascii="Arial" w:cs="Arial" w:eastAsia="Arial" w:hAnsi="Arial"/>
          <w:sz w:val="22"/>
          <w:szCs w:val="22"/>
        </w:rPr>
        <w:t xml:space="preserve"> chor and chol counts under the top twelve shared prefix-wrappers (sorted by combined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Prefix wrapper</w:t>
            </w:r>
          </w:p>
        </w:tc>
        <w:tc>
          <w:tcPr>
            <w:tcW w:type="dxa" w:w="3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chor count</w:t>
            </w:r>
          </w:p>
        </w:tc>
        <w:tc>
          <w:tcPr>
            <w:tcW w:type="dxa" w:w="33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chol count</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(bare)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199</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381</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k-</w:t>
            </w:r>
          </w:p>
        </w:tc>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3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24</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ot-</w:t>
            </w:r>
          </w:p>
        </w:tc>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3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27</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ok-</w:t>
            </w:r>
          </w:p>
        </w:tc>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3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12</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qot-</w:t>
            </w:r>
          </w:p>
        </w:tc>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3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13</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qok-</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w:t>
            </w:r>
          </w:p>
        </w:tc>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r>
      <w:tr>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yk-</w:t>
            </w:r>
          </w:p>
        </w:tc>
        <w:tc>
          <w:tcPr>
            <w:tcW w:type="dxa" w:w="3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3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w:t>
            </w:r>
          </w:p>
        </w:tc>
      </w:tr>
    </w:tbl>
    <w:p>
      <w:pPr>
        <w:spacing w:after="140" w:line="320"/>
      </w:pPr>
      <w:r>
        <w:rPr>
          <w:rFonts w:ascii="Arial" w:cs="Arial" w:eastAsia="Arial" w:hAnsi="Arial"/>
          <w:sz w:val="22"/>
          <w:szCs w:val="22"/>
        </w:rPr>
      </w:r>
      <w:r>
        <w:rPr>
          <w:rFonts w:ascii="Arial" w:cs="Arial" w:eastAsia="Arial" w:hAnsi="Arial"/>
          <w:sz w:val="22"/>
          <w:szCs w:val="22"/>
        </w:rPr>
        <w:t xml:space="preserve">chor and chol participate in a single morphological paradigm, with prefix-wrappers attaching to both at correlated frequencies. The two forms are word-class siblings of an identical inflectional category, not contrasting lexemes. Earlier semantic readings that positioned them as opposed qualities (active vs passive, hot vs cold) interpret as opposed two forms that are paradigmatically co-resident. The paradigm structure is reported; the referential function remains undetermined.</w:t>
      </w:r>
    </w:p>
    <w:p>
      <w:pPr>
        <w:pStyle w:val="Heading1"/>
        <w:spacing w:after="200" w:before="360"/>
      </w:pPr>
      <w:r>
        <w:rPr>
          <w:rFonts w:ascii="Arial" w:cs="Arial" w:eastAsia="Arial" w:hAnsi="Arial"/>
          <w:b/>
          <w:bCs/>
          <w:sz w:val="32"/>
          <w:szCs w:val="32"/>
        </w:rPr>
        <w:t xml:space="preserve">7. The grammatical backbone: uniform-across-sections items</w:t>
      </w:r>
    </w:p>
    <w:p>
      <w:pPr>
        <w:spacing w:after="140" w:line="320"/>
      </w:pPr>
      <w:r>
        <w:rPr>
          <w:rFonts w:ascii="Arial" w:cs="Arial" w:eastAsia="Arial" w:hAnsi="Arial"/>
          <w:sz w:val="22"/>
          <w:szCs w:val="22"/>
        </w:rPr>
        <w:t xml:space="preserve">Sections 5 and 6 have established two morphological layers: an inflectional template axis and a productive stem axis. Section 6 has further shown that stem-level vocabulary is sharply section-specific: the cth- paradigm is confined to herbal-A, lk- to stars, cheo/sheo to pharm-herbal, and a heavy qok-plus-e-grade vocabulary to balneo. The question is then whether any items of the corpus, in contrast, distribute uniformly across all sections.</w:t>
      </w:r>
    </w:p>
    <w:p>
      <w:pPr>
        <w:spacing w:after="140" w:line="320"/>
      </w:pPr>
      <w:r>
        <w:rPr>
          <w:rFonts w:ascii="Arial" w:cs="Arial" w:eastAsia="Arial" w:hAnsi="Arial"/>
          <w:sz w:val="22"/>
          <w:szCs w:val="22"/>
        </w:rPr>
        <w:t xml:space="preserve">The cross-section uniformity of each high-frequency token-type was measured by computing its rate per thousand in each of the six profiled sections and then computing the coefficient of variation (CV) of those rates. Low CV indicates uniformity across sections; high CV indicates section-specificity. Items with CV below 0.30, alongside their per-section rate profiles, are reported in Table 10.</w:t>
      </w:r>
    </w:p>
    <w:p>
      <w:pPr>
        <w:spacing w:after="140" w:line="320"/>
      </w:pPr>
      <w:r>
        <w:rPr>
          <w:rFonts w:ascii="Arial" w:cs="Arial" w:eastAsia="Arial" w:hAnsi="Arial"/>
          <w:b/>
          <w:bCs/>
          <w:sz w:val="22"/>
          <w:szCs w:val="22"/>
        </w:rPr>
        <w:t xml:space="preserve">Table 10.</w:t>
      </w:r>
      <w:r>
        <w:rPr>
          <w:rFonts w:ascii="Arial" w:cs="Arial" w:eastAsia="Arial" w:hAnsi="Arial"/>
          <w:sz w:val="22"/>
          <w:szCs w:val="22"/>
        </w:rPr>
        <w:t xml:space="preserve"> Items appearing at near-uniform rate across all six profiled sections (CV ≤ 0.30). Rates are per one thousand tokens in each section.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00"/>
        <w:gridCol w:w="1000"/>
        <w:gridCol w:w="1200"/>
        <w:gridCol w:w="700"/>
        <w:gridCol w:w="660"/>
      </w:tblGrid>
      <w:tr>
        <w:tc>
          <w:tcPr>
            <w:tcW w:type="dxa" w:w="1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Total n</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CV</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balneo</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cosmo</w:t>
            </w:r>
          </w:p>
        </w:tc>
        <w:tc>
          <w:tcPr>
            <w:tcW w:type="dxa" w:w="1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cosm/zod</w:t>
            </w:r>
          </w:p>
        </w:tc>
        <w:tc>
          <w:tcPr>
            <w:tcW w:type="dxa" w:w="12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herbal-A</w:t>
            </w:r>
          </w:p>
        </w:tc>
        <w:tc>
          <w:tcPr>
            <w:tcW w:type="dxa" w:w="7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pharm</w:t>
            </w:r>
          </w:p>
        </w:tc>
        <w:tc>
          <w:tcPr>
            <w:tcW w:type="dxa" w:w="6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stars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 prefix family</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0.134</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98.6</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81.6</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63.1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85.0</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81.2</w:t>
            </w:r>
          </w:p>
        </w:tc>
        <w:tc>
          <w:tcPr>
            <w:tcW w:type="dxa" w:w="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73.5</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 prefix family</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0.161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111.9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140.7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162.1</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191.9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173.8</w:t>
            </w:r>
          </w:p>
        </w:tc>
        <w:tc>
          <w:tcPr>
            <w:tcW w:type="dxa" w:w="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162.6</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okar</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135</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0.165</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chear</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0.179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1.5</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otor</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0.195</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0.8</w:t>
            </w:r>
          </w:p>
        </w:tc>
        <w:tc>
          <w:tcPr>
            <w:tcW w:type="dxa" w:w="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0.7</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shar</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0.232</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0.7</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0.5</w:t>
            </w:r>
          </w:p>
        </w:tc>
        <w:tc>
          <w:tcPr>
            <w:tcW w:type="dxa" w:w="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0.9</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-aiin (ending)</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0.234</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77.8</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64.0</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74.9</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120.9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99.7</w:t>
            </w:r>
          </w:p>
        </w:tc>
        <w:tc>
          <w:tcPr>
            <w:tcW w:type="dxa" w:w="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116.9</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dar</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0.243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8.7</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4.0</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 (ending)</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0.248</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73.8</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86.6</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108.8</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58.9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50.3</w:t>
            </w:r>
          </w:p>
        </w:tc>
        <w:tc>
          <w:tcPr>
            <w:tcW w:type="dxa" w:w="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82.3</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chdy</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139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0.255</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3.6</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aiin (free)</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502</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0.259</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10.5</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11.1</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15.4</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10.3</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10.5</w:t>
            </w:r>
          </w:p>
        </w:tc>
        <w:tc>
          <w:tcPr>
            <w:tcW w:type="dxa" w:w="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19.1</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y (free)</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323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0.275</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6.9</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12.3</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11.2</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6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7.2</w:t>
            </w:r>
          </w:p>
        </w:tc>
      </w:tr>
    </w:tbl>
    <w:p>
      <w:pPr>
        <w:spacing w:after="140" w:line="320"/>
      </w:pPr>
      <w:r>
        <w:rPr>
          <w:rFonts w:ascii="Arial" w:cs="Arial" w:eastAsia="Arial" w:hAnsi="Arial"/>
          <w:sz w:val="22"/>
          <w:szCs w:val="22"/>
        </w:rPr>
      </w:r>
      <w:r>
        <w:rPr>
          <w:rFonts w:ascii="Arial" w:cs="Arial" w:eastAsia="Arial" w:hAnsi="Arial"/>
          <w:sz w:val="22"/>
          <w:szCs w:val="22"/>
        </w:rPr>
        <w:t xml:space="preserve">A class of items, comprising the high-frequency prefix-classes ch- and sh-, the binyan endings -aiin and -ar, and several function-class and short-stem items (dar, chdy, y, aiin, okar, chear, otor, shar), distributes across all six sections of the corpus at coefficients of variation below 0.30. These items constitute a uniform grammatical backbone over which the section-specific paradigms of Section 6 are layered.</w:t>
      </w:r>
    </w:p>
    <w:p>
      <w:pPr>
        <w:spacing w:after="140" w:line="320"/>
      </w:pPr>
      <w:r>
        <w:rPr>
          <w:rFonts w:ascii="Arial" w:cs="Arial" w:eastAsia="Arial" w:hAnsi="Arial"/>
          <w:sz w:val="22"/>
          <w:szCs w:val="22"/>
        </w:rPr>
        <w:t xml:space="preserve">The structural significance of this layering is that the corpus exhibits the two-tier vocabulary organisation characteristic of templated reference works of any tradition: a stable grammatical-and-function-word layer (English the, of, -ing, -s; Latin et, in, -us, -is; Voynichese ch-, sh-, -aiin, -ar) underlying a register-specific lexical layer (English chemotherapy, sonnet, hypotenuse; Latin balsamum, sulphur, mercurius; Voynichese cthor, lkeey, cheol). The Voynich is not a uniform text and is not a fully disjoint set of section-specific texts; it is a single grammatical system with distinct registers.</w:t>
      </w:r>
    </w:p>
    <w:p>
      <w:pPr>
        <w:pStyle w:val="Heading1"/>
        <w:spacing w:after="200" w:before="360"/>
      </w:pPr>
      <w:r>
        <w:rPr>
          <w:rFonts w:ascii="Arial" w:cs="Arial" w:eastAsia="Arial" w:hAnsi="Arial"/>
          <w:b/>
          <w:bCs/>
          <w:sz w:val="32"/>
          <w:szCs w:val="32"/>
        </w:rPr>
        <w:t xml:space="preserve">8. Comparison against a candidate medieval reference work</w:t>
      </w:r>
    </w:p>
    <w:p>
      <w:pPr>
        <w:spacing w:after="140" w:line="320"/>
      </w:pPr>
      <w:r>
        <w:rPr>
          <w:rFonts w:ascii="Arial" w:cs="Arial" w:eastAsia="Arial" w:hAnsi="Arial"/>
          <w:sz w:val="22"/>
          <w:szCs w:val="22"/>
        </w:rPr>
        <w:t xml:space="preserve">The structural observations of Sections 3–7 invite comparison against medieval encyclopedic medical works of the type with which the manuscript has been historically associated by virtue of its botanical, balneological, and pharmacological content. This section reports such a comparison against Book II of the Canon of Medicine (Ibn Sīnā, c. 1025 CE), in the Hamdard edition consulted via the project's working corpus, comprising 179,429 tokens parsed into 670 drug entries with named-slot structure (Nature, Temperament, Actions, and so on). The comparison serves to test whether the structural features observed in the Voynich corpus are typical of medieval encyclopedic medical works or distinctive to the manuscript. No claim of textual derivation, translation, or causal relationship is made.</w:t>
      </w:r>
    </w:p>
    <w:p>
      <w:pPr>
        <w:spacing w:after="140" w:line="320"/>
      </w:pPr>
      <w:r>
        <w:rPr>
          <w:rFonts w:ascii="Arial" w:cs="Arial" w:eastAsia="Arial" w:hAnsi="Arial"/>
          <w:sz w:val="22"/>
          <w:szCs w:val="22"/>
        </w:rPr>
        <w:t xml:space="preserve">Five structural tests are reported, each with a pre-registered outcome interpretation. Tests A and D involve quantitative properties of entry length and genre proportion; tests B and C involve the structural template of individual entries; test E concerns the cross-section distribution of grammatical-function vocabulary.</w:t>
      </w:r>
    </w:p>
    <w:p>
      <w:pPr>
        <w:pStyle w:val="Heading3"/>
        <w:spacing w:after="120" w:before="220"/>
      </w:pPr>
      <w:r>
        <w:rPr>
          <w:rFonts w:ascii="Arial" w:cs="Arial" w:eastAsia="Arial" w:hAnsi="Arial"/>
          <w:b/>
          <w:bCs/>
          <w:sz w:val="24"/>
          <w:szCs w:val="24"/>
        </w:rPr>
        <w:t xml:space="preserve">8.1 Test A: Genre proportions</w:t>
      </w:r>
    </w:p>
    <w:p>
      <w:pPr>
        <w:spacing w:after="140" w:line="320"/>
      </w:pPr>
      <w:r>
        <w:rPr>
          <w:rFonts w:ascii="Arial" w:cs="Arial" w:eastAsia="Arial" w:hAnsi="Arial"/>
          <w:sz w:val="22"/>
          <w:szCs w:val="22"/>
        </w:rPr>
        <w:t xml:space="preserve">The Voynich corpus partitions into substance-cataloguing sections (herbal-A, pharm-herbal, totalling 33.8 per cent of the corpus) and process-register sections (balneo, accounting for 19.8 per cent), with three further sections occupying intermediate or unrelated roles. The Canon partitions into Book I (humoral theory, 58 per cent of the combined Books I and II corpus by token) and Book II (de simplicibus, 42 per cent). Both works partition into a theory-bearing section and a substance-cataloguing section, but in inverted proportions: the Canon allocates more weight to theory, the Voynich to substances. Verdict: structural match in kind, mismatch in proportion. Partial.</w:t>
      </w:r>
    </w:p>
    <w:p>
      <w:pPr>
        <w:pStyle w:val="Heading3"/>
        <w:spacing w:after="120" w:before="220"/>
      </w:pPr>
      <w:r>
        <w:rPr>
          <w:rFonts w:ascii="Arial" w:cs="Arial" w:eastAsia="Arial" w:hAnsi="Arial"/>
          <w:b/>
          <w:bCs/>
          <w:sz w:val="24"/>
          <w:szCs w:val="24"/>
        </w:rPr>
        <w:t xml:space="preserve">8.2 Test B: Per-entry headword uniqueness</w:t>
      </w:r>
    </w:p>
    <w:p>
      <w:pPr>
        <w:spacing w:after="140" w:line="320"/>
      </w:pPr>
      <w:r>
        <w:rPr>
          <w:rFonts w:ascii="Arial" w:cs="Arial" w:eastAsia="Arial" w:hAnsi="Arial"/>
          <w:sz w:val="22"/>
          <w:szCs w:val="22"/>
        </w:rPr>
        <w:t xml:space="preserve">Canon Book II entries open with substance names; first-word uniqueness across the 670 entries is 88.1 per cent. The Voynich herbal-A section, treated as the closest comparator section, has paragraph-opening tokens of which 58.5 per cent are hapax legomena within herbal-A and 66.9 per cent appear nowhere else in herbal-A. Both works exhibit a unique-headword-per-entry convention; the Voynich's is somewhat weaker, consistent with a constructed-encoding context in which compound headword elements may be reused. Verdict: match.</w:t>
      </w:r>
    </w:p>
    <w:p>
      <w:pPr>
        <w:pStyle w:val="Heading3"/>
        <w:spacing w:after="120" w:before="220"/>
      </w:pPr>
      <w:r>
        <w:rPr>
          <w:rFonts w:ascii="Arial" w:cs="Arial" w:eastAsia="Arial" w:hAnsi="Arial"/>
          <w:b/>
          <w:bCs/>
          <w:sz w:val="24"/>
          <w:szCs w:val="24"/>
        </w:rPr>
        <w:t xml:space="preserve">8.3 Test C: Within-entry slot template</w:t>
      </w:r>
    </w:p>
    <w:p>
      <w:pPr>
        <w:spacing w:after="140" w:line="320"/>
      </w:pPr>
      <w:r>
        <w:rPr>
          <w:rFonts w:ascii="Arial" w:cs="Arial" w:eastAsia="Arial" w:hAnsi="Arial"/>
          <w:sz w:val="22"/>
          <w:szCs w:val="22"/>
        </w:rPr>
        <w:t xml:space="preserve">Canon Book II entries have an ordered slot template (Nature, Temperament, Actions, organ-specific effects, and so on), with Nature appearing in 77.8 per cent of entries and Temperament in 65.4 per cent. The Voynich herbal-A paragraphs show distinct morphological profiles at positions 1, 2–3, 4–5, and 6+ within the paragraph, with position 1 dominated by gallows-initial decorated forms (67 per cent), position 2–3 by ch-/sh- + binyan body forms, and later positions stabilising into a saturated body-text profile. Both works exhibit ordered slot structure at within-entry positions. Verdict: strong match.</w:t>
      </w:r>
    </w:p>
    <w:p>
      <w:pPr>
        <w:pStyle w:val="Heading3"/>
        <w:spacing w:after="120" w:before="220"/>
      </w:pPr>
      <w:r>
        <w:rPr>
          <w:rFonts w:ascii="Arial" w:cs="Arial" w:eastAsia="Arial" w:hAnsi="Arial"/>
          <w:b/>
          <w:bCs/>
          <w:sz w:val="24"/>
          <w:szCs w:val="24"/>
        </w:rPr>
        <w:t xml:space="preserve">8.4 Test D: Entry length distribution</w:t>
      </w:r>
    </w:p>
    <w:p>
      <w:pPr>
        <w:spacing w:after="140" w:line="320"/>
      </w:pPr>
      <w:r>
        <w:rPr>
          <w:rFonts w:ascii="Arial" w:cs="Arial" w:eastAsia="Arial" w:hAnsi="Arial"/>
          <w:sz w:val="22"/>
          <w:szCs w:val="22"/>
        </w:rPr>
        <w:t xml:space="preserve">Canon Book II entry lengths are heavily right-skewed (median 142 tokens, 95th percentile 4.88× the median, maximum 31× the median). Voynich herbal-A paragraph lengths are compressed (median 76 tokens, 95th percentile 1.53× the median, maximum 2× the median). The Canon writes substantially more about important drugs than minor ones; the Voynich does not show this. The mismatch is significant and stable. Verdict: mismatch.</w:t>
      </w:r>
    </w:p>
    <w:p>
      <w:pPr>
        <w:pStyle w:val="Heading3"/>
        <w:spacing w:after="120" w:before="220"/>
      </w:pPr>
      <w:r>
        <w:rPr>
          <w:rFonts w:ascii="Arial" w:cs="Arial" w:eastAsia="Arial" w:hAnsi="Arial"/>
          <w:b/>
          <w:bCs/>
          <w:sz w:val="24"/>
          <w:szCs w:val="24"/>
        </w:rPr>
        <w:t xml:space="preserve">8.5 Test E: Uniform-vocabulary distribution</w:t>
      </w:r>
    </w:p>
    <w:p>
      <w:pPr>
        <w:spacing w:after="140" w:line="320"/>
      </w:pPr>
      <w:r>
        <w:rPr>
          <w:rFonts w:ascii="Arial" w:cs="Arial" w:eastAsia="Arial" w:hAnsi="Arial"/>
          <w:sz w:val="22"/>
          <w:szCs w:val="22"/>
        </w:rPr>
        <w:t xml:space="preserve">This is the test whose framing was revised in the course of the present analysis and which warrants extended discussion. The Canon distributes its core grammatical-function and humoral-template vocabulary uniformly across both Book I and Book II: the broad humoral terminology appears at 13.8 per thousand in Book I and 18.7 per thousand in Book II, and the narrower quality terminology (hot, cold, dry, moist) at 5.2 and 10.2 per thousand respectively — values that are elevated, not absent, in the substance-cataloguing book, because every drug entry contains a Temperament line.</w:t>
      </w:r>
    </w:p>
    <w:p>
      <w:pPr>
        <w:spacing w:after="140" w:line="320"/>
      </w:pPr>
      <w:r>
        <w:rPr>
          <w:rFonts w:ascii="Arial" w:cs="Arial" w:eastAsia="Arial" w:hAnsi="Arial"/>
          <w:sz w:val="22"/>
          <w:szCs w:val="22"/>
        </w:rPr>
        <w:t xml:space="preserve">An initial comparison of this distribution against the Voynich token chedy was undertaken in prior work and reported a strong mismatch: chedy occurs at 28.9 per thousand in the balneo section and at 0.0 per thousand in herbal-A and pharm-herbal. This appeared to refute the Avicennan-frame comparison.</w:t>
      </w:r>
    </w:p>
    <w:p>
      <w:pPr>
        <w:spacing w:after="140" w:line="320"/>
      </w:pPr>
      <w:r>
        <w:rPr>
          <w:rFonts w:ascii="Arial" w:cs="Arial" w:eastAsia="Arial" w:hAnsi="Arial"/>
          <w:sz w:val="22"/>
          <w:szCs w:val="22"/>
        </w:rPr>
        <w:t xml:space="preserve">The corrected formulation of the test corrects the level of analysis. chedy is not a lexical item but an inflectional form, specifically the e-grade-plus-y binyan applied to the consonantal root ch-d. Comparing the section-distribution of a grammatical category in one work against the section-distribution of a lexical category in another is structurally malformed. The English analogue would be to compare the distribution of the -ing form of English verbs against the Latin lexical terms calidus, frigidus, siccus, humidus. The grammatical category and the lexical category cannot be expected to share a distribution profile.</w:t>
      </w:r>
    </w:p>
    <w:p>
      <w:pPr>
        <w:spacing w:after="140" w:line="320"/>
      </w:pPr>
      <w:r>
        <w:rPr>
          <w:rFonts w:ascii="Arial" w:cs="Arial" w:eastAsia="Arial" w:hAnsi="Arial"/>
          <w:sz w:val="22"/>
          <w:szCs w:val="22"/>
        </w:rPr>
        <w:t xml:space="preserve">The corrected test asks whether the Voynich corpus exhibits any class of items whose cross-section uniformity profile matches the Canon's humoral-terminology profile. Section 7 of this paper identifies that class: the items with coefficient of variation below 0.30 across the six profiled sections. The Voynich grammatical backbone (ch-, sh-, dar, -aiin, -ar, chdy, y, aiin, okar, chear, otor, shar) plays the structural role in the Voynich that the broad humoral terminology plays in the Canon: it appears in every section because every section is built around the same grammar. Verdict (corrected): match.</w:t>
      </w:r>
    </w:p>
    <w:p>
      <w:pPr>
        <w:spacing w:after="140" w:line="320"/>
      </w:pPr>
      <w:r>
        <w:rPr>
          <w:rFonts w:ascii="Arial" w:cs="Arial" w:eastAsia="Arial" w:hAnsi="Arial"/>
          <w:b/>
          <w:bCs/>
          <w:sz w:val="22"/>
          <w:szCs w:val="22"/>
        </w:rPr>
        <w:t xml:space="preserve">Revised summary of the five comparison tests: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060"/>
      </w:tblGrid>
      <w:tr>
        <w:tc>
          <w:tcPr>
            <w:tcW w:type="dxa" w:w="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Test</w:t>
            </w:r>
          </w:p>
        </w:tc>
        <w:tc>
          <w:tcPr>
            <w:tcW w:type="dxa" w:w="40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Domain</w:t>
            </w:r>
          </w:p>
        </w:tc>
        <w:tc>
          <w:tcPr>
            <w:tcW w:type="dxa" w:w="40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Genre proportions</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Partial (match in kind, mismatch in ratio)</w:t>
            </w:r>
          </w:p>
        </w:tc>
      </w:tr>
      <w:tr>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B</w:t>
            </w:r>
          </w:p>
        </w:tc>
        <w:tc>
          <w:tcPr>
            <w:tcW w:type="dxa" w:w="4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Per-entry headword uniqueness</w:t>
            </w:r>
          </w:p>
        </w:tc>
        <w:tc>
          <w:tcPr>
            <w:tcW w:type="dxa" w:w="40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Match</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Within-entry slot template</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Strong match</w:t>
            </w:r>
          </w:p>
        </w:tc>
      </w:tr>
      <w:tr>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D</w:t>
            </w:r>
          </w:p>
        </w:tc>
        <w:tc>
          <w:tcPr>
            <w:tcW w:type="dxa" w:w="4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Entry length distribution</w:t>
            </w:r>
          </w:p>
        </w:tc>
        <w:tc>
          <w:tcPr>
            <w:tcW w:type="dxa" w:w="40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Mismatch</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Uniform-vocabulary distribution (corrected)</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Match</w:t>
            </w:r>
          </w:p>
        </w:tc>
      </w:tr>
    </w:tbl>
    <w:p>
      <w:pPr>
        <w:spacing w:after="140" w:line="320"/>
      </w:pPr>
      <w:r>
        <w:rPr>
          <w:rFonts w:ascii="Arial" w:cs="Arial" w:eastAsia="Arial" w:hAnsi="Arial"/>
          <w:sz w:val="22"/>
          <w:szCs w:val="22"/>
        </w:rPr>
      </w:r>
      <w:r>
        <w:rPr>
          <w:rFonts w:ascii="Arial" w:cs="Arial" w:eastAsia="Arial" w:hAnsi="Arial"/>
          <w:sz w:val="22"/>
          <w:szCs w:val="22"/>
        </w:rPr>
        <w:t xml:space="preserve">Three matches, one partial, and one mismatch under the five-test comparison. The Voynich shares the entry-template conventions of medieval encyclopedic medical works (unique-headword convention, ordered within-entry slot template, uniform-grammatical-backbone distribution) but differs in two respects: it allocates substantially more weight to its substance-cataloguing sections than to its process-register section, and its entries do not exhibit the long-tail length distribution characteristic of the Canon. The most parsimonious reading of these results is that the Voynich participates in the same broad genre tradition as the Canon and other medieval encyclopedic medical reference works, while imposing a stricter and more rigidly templated structure than any specific candidate source. No claim of textual derivation from the Canon is made or supported by these tests.</w:t>
      </w:r>
    </w:p>
    <w:p>
      <w:pPr>
        <w:pStyle w:val="Heading3"/>
        <w:spacing w:after="120" w:before="220"/>
      </w:pPr>
      <w:r>
        <w:rPr>
          <w:rFonts w:ascii="Arial" w:cs="Arial" w:eastAsia="Arial" w:hAnsi="Arial"/>
          <w:b/>
          <w:bCs/>
          <w:sz w:val="24"/>
          <w:szCs w:val="24"/>
        </w:rPr>
        <w:t xml:space="preserve">8.6 What this comparison establishes and does not establish</w:t>
      </w:r>
    </w:p>
    <w:p>
      <w:pPr>
        <w:spacing w:after="140" w:line="320"/>
      </w:pPr>
      <w:r>
        <w:rPr>
          <w:rFonts w:ascii="Arial" w:cs="Arial" w:eastAsia="Arial" w:hAnsi="Arial"/>
          <w:sz w:val="22"/>
          <w:szCs w:val="22"/>
        </w:rPr>
        <w:t xml:space="preserve">The comparison establishes that three of the five structural features compared are shared between the Voynich corpus and the Canon Book II corpus, and that the two divergences are themselves structurally informative (the Voynich is more rigidly templated than the Canon). It does not establish that the Canon is the source text being encoded; it does not establish that the Voynich is a translation, adaptation, abridgement, or commentary on the Canon; it does not establish any specific author, scribe, school, or place of production; and it does not establish a dating. The comparison places the manuscript within the broad tradition of medieval encyclopedic medical works as a structural cousin, not as a derivative.</w:t>
      </w:r>
    </w:p>
    <w:p>
      <w:pPr>
        <w:pStyle w:val="Heading1"/>
        <w:spacing w:after="200" w:before="360"/>
      </w:pPr>
      <w:r>
        <w:rPr>
          <w:rFonts w:ascii="Arial" w:cs="Arial" w:eastAsia="Arial" w:hAnsi="Arial"/>
          <w:b/>
          <w:bCs/>
          <w:sz w:val="32"/>
          <w:szCs w:val="32"/>
        </w:rPr>
        <w:t xml:space="preserve">9. Outlined trajectory and pre-registered next tests</w:t>
      </w:r>
    </w:p>
    <w:p>
      <w:pPr>
        <w:spacing w:after="140" w:line="320"/>
      </w:pPr>
      <w:r>
        <w:rPr>
          <w:rFonts w:ascii="Arial" w:cs="Arial" w:eastAsia="Arial" w:hAnsi="Arial"/>
          <w:sz w:val="22"/>
          <w:szCs w:val="22"/>
        </w:rPr>
        <w:t xml:space="preserve">This section identifies five further tests that follow from the present results. Each is stated with its predicted outcome and the data resources required. The tests are pre-registered in the sense that their hypotheses are stated here, in this preprint, prior to the analysis that will determine the outcome. Results will be reported in subsequent work.</w:t>
      </w:r>
    </w:p>
    <w:p>
      <w:pPr>
        <w:pStyle w:val="Heading2"/>
        <w:spacing w:after="160" w:before="280"/>
      </w:pPr>
      <w:r>
        <w:rPr>
          <w:rFonts w:ascii="Arial" w:cs="Arial" w:eastAsia="Arial" w:hAnsi="Arial"/>
          <w:b/>
          <w:bCs/>
          <w:sz w:val="26"/>
          <w:szCs w:val="26"/>
        </w:rPr>
        <w:t xml:space="preserve">9.1 Coverage expansion (Q1)</w:t>
      </w:r>
    </w:p>
    <w:p>
      <w:pPr>
        <w:spacing w:after="140" w:line="320"/>
      </w:pPr>
      <w:r>
        <w:rPr>
          <w:rFonts w:ascii="Arial" w:cs="Arial" w:eastAsia="Arial" w:hAnsi="Arial"/>
          <w:b/>
          <w:bCs/>
          <w:sz w:val="22"/>
          <w:szCs w:val="22"/>
        </w:rPr>
        <w:t xml:space="preserve">Test. </w:t>
      </w:r>
      <w:r>
        <w:rPr>
          <w:rFonts w:ascii="Arial" w:cs="Arial" w:eastAsia="Arial" w:hAnsi="Arial"/>
          <w:sz w:val="22"/>
          <w:szCs w:val="22"/>
        </w:rPr>
        <w:t xml:space="preserve">Extend the morphological decomposer to include the candidate binyans -eol and -air and the candidate prefix-classes lk-, op-, and dl-. Re-run the coverage analysis of Section 3.</w:t>
      </w:r>
    </w:p>
    <w:p>
      <w:pPr>
        <w:spacing w:after="140" w:line="320"/>
      </w:pPr>
      <w:r>
        <w:rPr>
          <w:rFonts w:ascii="Arial" w:cs="Arial" w:eastAsia="Arial" w:hAnsi="Arial"/>
          <w:b/>
          <w:bCs/>
          <w:sz w:val="22"/>
          <w:szCs w:val="22"/>
        </w:rPr>
        <w:t xml:space="preserve">Pre-registered prediction. </w:t>
      </w:r>
      <w:r>
        <w:rPr>
          <w:rFonts w:ascii="Arial" w:cs="Arial" w:eastAsia="Arial" w:hAnsi="Arial"/>
          <w:sz w:val="22"/>
          <w:szCs w:val="22"/>
        </w:rPr>
        <w:t xml:space="preserve">Token coverage rises above 85 per cent. Type coverage rises above 30 per cent. The remaining residue is dominated by hapax compounds without systematic structure.</w:t>
      </w:r>
    </w:p>
    <w:p>
      <w:pPr>
        <w:spacing w:after="140" w:line="320"/>
      </w:pPr>
      <w:r>
        <w:rPr>
          <w:rFonts w:ascii="Arial" w:cs="Arial" w:eastAsia="Arial" w:hAnsi="Arial"/>
          <w:b/>
          <w:bCs/>
          <w:sz w:val="22"/>
          <w:szCs w:val="22"/>
        </w:rPr>
        <w:t xml:space="preserve">Falsification condition. </w:t>
      </w:r>
      <w:r>
        <w:rPr>
          <w:rFonts w:ascii="Arial" w:cs="Arial" w:eastAsia="Arial" w:hAnsi="Arial"/>
          <w:sz w:val="22"/>
          <w:szCs w:val="22"/>
        </w:rPr>
        <w:t xml:space="preserve">If token coverage rises below 80 per cent, the candidate inventory additions are not productive in the corpus and must be reconsidered.</w:t>
      </w:r>
    </w:p>
    <w:p>
      <w:pPr>
        <w:pStyle w:val="Heading2"/>
        <w:spacing w:after="160" w:before="280"/>
      </w:pPr>
      <w:r>
        <w:rPr>
          <w:rFonts w:ascii="Arial" w:cs="Arial" w:eastAsia="Arial" w:hAnsi="Arial"/>
          <w:b/>
          <w:bCs/>
          <w:sz w:val="26"/>
          <w:szCs w:val="26"/>
        </w:rPr>
        <w:t xml:space="preserve">9.2 Within-section binyan distribution (Q2)</w:t>
      </w:r>
    </w:p>
    <w:p>
      <w:pPr>
        <w:spacing w:after="140" w:line="320"/>
      </w:pPr>
      <w:r>
        <w:rPr>
          <w:rFonts w:ascii="Arial" w:cs="Arial" w:eastAsia="Arial" w:hAnsi="Arial"/>
          <w:b/>
          <w:bCs/>
          <w:sz w:val="22"/>
          <w:szCs w:val="22"/>
        </w:rPr>
        <w:t xml:space="preserve">Test. </w:t>
      </w:r>
      <w:r>
        <w:rPr>
          <w:rFonts w:ascii="Arial" w:cs="Arial" w:eastAsia="Arial" w:hAnsi="Arial"/>
          <w:sz w:val="22"/>
          <w:szCs w:val="22"/>
        </w:rPr>
        <w:t xml:space="preserve">Tabulate each binyan template's rate per thousand by section. If binyanim mark grammatical-functional categories (voice, aspect, mood) analogous to those in Hebrew or Arabic, each section's distinctive binyan profile should be consistent with one such category dominating per section.</w:t>
      </w:r>
    </w:p>
    <w:p>
      <w:pPr>
        <w:spacing w:after="140" w:line="320"/>
      </w:pPr>
      <w:r>
        <w:rPr>
          <w:rFonts w:ascii="Arial" w:cs="Arial" w:eastAsia="Arial" w:hAnsi="Arial"/>
          <w:b/>
          <w:bCs/>
          <w:sz w:val="22"/>
          <w:szCs w:val="22"/>
        </w:rPr>
        <w:t xml:space="preserve">Pre-registered prediction. </w:t>
      </w:r>
      <w:r>
        <w:rPr>
          <w:rFonts w:ascii="Arial" w:cs="Arial" w:eastAsia="Arial" w:hAnsi="Arial"/>
          <w:sz w:val="22"/>
          <w:szCs w:val="22"/>
        </w:rPr>
        <w:t xml:space="preserve">Each section shows a single binyan (or pair of binyanim) accounting for above 40 per cent of binyan-bearing tokens in that section. Section register is principally a binyan-distribution effect.</w:t>
      </w:r>
    </w:p>
    <w:p>
      <w:pPr>
        <w:spacing w:after="140" w:line="320"/>
      </w:pPr>
      <w:r>
        <w:rPr>
          <w:rFonts w:ascii="Arial" w:cs="Arial" w:eastAsia="Arial" w:hAnsi="Arial"/>
          <w:b/>
          <w:bCs/>
          <w:sz w:val="22"/>
          <w:szCs w:val="22"/>
        </w:rPr>
        <w:t xml:space="preserve">Falsification condition. </w:t>
      </w:r>
      <w:r>
        <w:rPr>
          <w:rFonts w:ascii="Arial" w:cs="Arial" w:eastAsia="Arial" w:hAnsi="Arial"/>
          <w:sz w:val="22"/>
          <w:szCs w:val="22"/>
        </w:rPr>
        <w:t xml:space="preserve">If each section's binyan-distribution profile is flat (no dominant binyan above 25 per cent), the section register is principally a stem-distribution effect, and binyan does not carry section-marking function.</w:t>
      </w:r>
    </w:p>
    <w:p>
      <w:pPr>
        <w:pStyle w:val="Heading2"/>
        <w:spacing w:after="160" w:before="280"/>
      </w:pPr>
      <w:r>
        <w:rPr>
          <w:rFonts w:ascii="Arial" w:cs="Arial" w:eastAsia="Arial" w:hAnsi="Arial"/>
          <w:b/>
          <w:bCs/>
          <w:sz w:val="26"/>
          <w:szCs w:val="26"/>
        </w:rPr>
        <w:t xml:space="preserve">9.3 cth- paradigm behavioural anchoring (Q3)</w:t>
      </w:r>
    </w:p>
    <w:p>
      <w:pPr>
        <w:spacing w:after="140" w:line="320"/>
      </w:pPr>
      <w:r>
        <w:rPr>
          <w:rFonts w:ascii="Arial" w:cs="Arial" w:eastAsia="Arial" w:hAnsi="Arial"/>
          <w:b/>
          <w:bCs/>
          <w:sz w:val="22"/>
          <w:szCs w:val="22"/>
        </w:rPr>
        <w:t xml:space="preserve">Test. </w:t>
      </w:r>
      <w:r>
        <w:rPr>
          <w:rFonts w:ascii="Arial" w:cs="Arial" w:eastAsia="Arial" w:hAnsi="Arial"/>
          <w:sz w:val="22"/>
          <w:szCs w:val="22"/>
        </w:rPr>
        <w:t xml:space="preserve">Identify the folios on which each of cthor, cthy, cthol, and cthey clusters at above-paragraph density. Examine the illustrations on those folios for visual or botanical coherence within each form-group: leaf type, root form, flower presence, plant habit.</w:t>
      </w:r>
    </w:p>
    <w:p>
      <w:pPr>
        <w:spacing w:after="140" w:line="320"/>
      </w:pPr>
      <w:r>
        <w:rPr>
          <w:rFonts w:ascii="Arial" w:cs="Arial" w:eastAsia="Arial" w:hAnsi="Arial"/>
          <w:b/>
          <w:bCs/>
          <w:sz w:val="22"/>
          <w:szCs w:val="22"/>
        </w:rPr>
        <w:t xml:space="preserve">Pre-registered prediction. </w:t>
      </w:r>
      <w:r>
        <w:rPr>
          <w:rFonts w:ascii="Arial" w:cs="Arial" w:eastAsia="Arial" w:hAnsi="Arial"/>
          <w:sz w:val="22"/>
          <w:szCs w:val="22"/>
        </w:rPr>
        <w:t xml:space="preserve">Folios bearing each form cluster visually around shared botanical features. The four forms partition the herbal-A folios into at least two visually distinguishable groups.</w:t>
      </w:r>
    </w:p>
    <w:p>
      <w:pPr>
        <w:spacing w:after="140" w:line="320"/>
      </w:pPr>
      <w:r>
        <w:rPr>
          <w:rFonts w:ascii="Arial" w:cs="Arial" w:eastAsia="Arial" w:hAnsi="Arial"/>
          <w:b/>
          <w:bCs/>
          <w:sz w:val="22"/>
          <w:szCs w:val="22"/>
        </w:rPr>
        <w:t xml:space="preserve">Falsification condition. </w:t>
      </w:r>
      <w:r>
        <w:rPr>
          <w:rFonts w:ascii="Arial" w:cs="Arial" w:eastAsia="Arial" w:hAnsi="Arial"/>
          <w:sz w:val="22"/>
          <w:szCs w:val="22"/>
        </w:rPr>
        <w:t xml:space="preserve">If folios bearing the four forms are visually indistinguishable, the cth- paradigm does not encode botanically interpretable distinctions and the four-form paradigm structure is grammatical rather than referential.</w:t>
      </w:r>
    </w:p>
    <w:p>
      <w:pPr>
        <w:spacing w:after="140" w:line="320"/>
      </w:pPr>
      <w:r>
        <w:rPr>
          <w:rFonts w:ascii="Arial" w:cs="Arial" w:eastAsia="Arial" w:hAnsi="Arial"/>
          <w:sz w:val="22"/>
          <w:szCs w:val="22"/>
        </w:rPr>
        <w:t xml:space="preserve">This test is the cleanest available behavioural anchoring for any specific Voynich paradigm and is identified as the highest-priority semantic-frontier test.</w:t>
      </w:r>
    </w:p>
    <w:p>
      <w:pPr>
        <w:pStyle w:val="Heading2"/>
        <w:spacing w:after="160" w:before="280"/>
      </w:pPr>
      <w:r>
        <w:rPr>
          <w:rFonts w:ascii="Arial" w:cs="Arial" w:eastAsia="Arial" w:hAnsi="Arial"/>
          <w:b/>
          <w:bCs/>
          <w:sz w:val="26"/>
          <w:szCs w:val="26"/>
        </w:rPr>
        <w:t xml:space="preserve">9.4 lk- paradigm structural anchoring (Q3 parallel)</w:t>
      </w:r>
    </w:p>
    <w:p>
      <w:pPr>
        <w:spacing w:after="140" w:line="320"/>
      </w:pPr>
      <w:r>
        <w:rPr>
          <w:rFonts w:ascii="Arial" w:cs="Arial" w:eastAsia="Arial" w:hAnsi="Arial"/>
          <w:b/>
          <w:bCs/>
          <w:sz w:val="22"/>
          <w:szCs w:val="22"/>
        </w:rPr>
        <w:t xml:space="preserve">Test. </w:t>
      </w:r>
      <w:r>
        <w:rPr>
          <w:rFonts w:ascii="Arial" w:cs="Arial" w:eastAsia="Arial" w:hAnsi="Arial"/>
          <w:sz w:val="22"/>
          <w:szCs w:val="22"/>
        </w:rPr>
        <w:t xml:space="preserve">Identify the folios on which each lk- form clusters within the stars section. Examine the diagrams on those folios (star labels, ring positions, decan structure) for structural correspondence with the form-distribution.</w:t>
      </w:r>
    </w:p>
    <w:p>
      <w:pPr>
        <w:spacing w:after="140" w:line="320"/>
      </w:pPr>
      <w:r>
        <w:rPr>
          <w:rFonts w:ascii="Arial" w:cs="Arial" w:eastAsia="Arial" w:hAnsi="Arial"/>
          <w:b/>
          <w:bCs/>
          <w:sz w:val="22"/>
          <w:szCs w:val="22"/>
        </w:rPr>
        <w:t xml:space="preserve">Pre-registered prediction. </w:t>
      </w:r>
      <w:r>
        <w:rPr>
          <w:rFonts w:ascii="Arial" w:cs="Arial" w:eastAsia="Arial" w:hAnsi="Arial"/>
          <w:sz w:val="22"/>
          <w:szCs w:val="22"/>
        </w:rPr>
        <w:t xml:space="preserve">lk- forms partition into roles correlated with structural positions in the stars-section diagrams (e.g. centre versus periphery, primary versus secondary label).</w:t>
      </w:r>
    </w:p>
    <w:p>
      <w:pPr>
        <w:spacing w:after="140" w:line="320"/>
      </w:pPr>
      <w:r>
        <w:rPr>
          <w:rFonts w:ascii="Arial" w:cs="Arial" w:eastAsia="Arial" w:hAnsi="Arial"/>
          <w:b/>
          <w:bCs/>
          <w:sz w:val="22"/>
          <w:szCs w:val="22"/>
        </w:rPr>
        <w:t xml:space="preserve">Falsification condition. </w:t>
      </w:r>
      <w:r>
        <w:rPr>
          <w:rFonts w:ascii="Arial" w:cs="Arial" w:eastAsia="Arial" w:hAnsi="Arial"/>
          <w:sz w:val="22"/>
          <w:szCs w:val="22"/>
        </w:rPr>
        <w:t xml:space="preserve">If lk- form distribution is uncorrelated with diagrammatic structural position, the paradigm functions purely lexically without diagrammatic correlate.</w:t>
      </w:r>
    </w:p>
    <w:p>
      <w:pPr>
        <w:pStyle w:val="Heading2"/>
        <w:spacing w:after="160" w:before="280"/>
      </w:pPr>
      <w:r>
        <w:rPr>
          <w:rFonts w:ascii="Arial" w:cs="Arial" w:eastAsia="Arial" w:hAnsi="Arial"/>
          <w:b/>
          <w:bCs/>
          <w:sz w:val="26"/>
          <w:szCs w:val="26"/>
        </w:rPr>
        <w:t xml:space="preserve">9.5 Comparative Semitic-morphology test (Q5)</w:t>
      </w:r>
    </w:p>
    <w:p>
      <w:pPr>
        <w:spacing w:after="140" w:line="320"/>
      </w:pPr>
      <w:r>
        <w:rPr>
          <w:rFonts w:ascii="Arial" w:cs="Arial" w:eastAsia="Arial" w:hAnsi="Arial"/>
          <w:b/>
          <w:bCs/>
          <w:sz w:val="22"/>
          <w:szCs w:val="22"/>
        </w:rPr>
        <w:t xml:space="preserve">Test. </w:t>
      </w:r>
      <w:r>
        <w:rPr>
          <w:rFonts w:ascii="Arial" w:cs="Arial" w:eastAsia="Arial" w:hAnsi="Arial"/>
          <w:sz w:val="22"/>
          <w:szCs w:val="22"/>
        </w:rPr>
        <w:t xml:space="preserve">Tabulate the Hebrew binyan inventory (qal, niphal, piel, pual, hifil, hofal, hitpael; seven forms) and the Arabic Form I–X system (ten forms) with their grammatical-functional content. Compare the Voynich ten-binyan inventory of Section 5 for pattern count, distributional spread, and candidate grammatical-functional mapping.</w:t>
      </w:r>
    </w:p>
    <w:p>
      <w:pPr>
        <w:spacing w:after="140" w:line="320"/>
      </w:pPr>
      <w:r>
        <w:rPr>
          <w:rFonts w:ascii="Arial" w:cs="Arial" w:eastAsia="Arial" w:hAnsi="Arial"/>
          <w:b/>
          <w:bCs/>
          <w:sz w:val="22"/>
          <w:szCs w:val="22"/>
        </w:rPr>
        <w:t xml:space="preserve">Pre-registered prediction. </w:t>
      </w:r>
      <w:r>
        <w:rPr>
          <w:rFonts w:ascii="Arial" w:cs="Arial" w:eastAsia="Arial" w:hAnsi="Arial"/>
          <w:sz w:val="22"/>
          <w:szCs w:val="22"/>
        </w:rPr>
        <w:t xml:space="preserve">The Voynich inventory pattern-count is in the range of seven to ten, consistent with either Hebrew or Arabic. The dominant Voynich binyanim by frequency correspond in distributional profile to the highest-frequency binyanim in Hebrew or Arabic (e.g. -e-y as a candidate Hebrew piel- or Arabic Form II analogue).</w:t>
      </w:r>
    </w:p>
    <w:p>
      <w:pPr>
        <w:spacing w:after="140" w:line="320"/>
      </w:pPr>
      <w:r>
        <w:rPr>
          <w:rFonts w:ascii="Arial" w:cs="Arial" w:eastAsia="Arial" w:hAnsi="Arial"/>
          <w:b/>
          <w:bCs/>
          <w:sz w:val="22"/>
          <w:szCs w:val="22"/>
        </w:rPr>
        <w:t xml:space="preserve">Falsification condition. </w:t>
      </w:r>
      <w:r>
        <w:rPr>
          <w:rFonts w:ascii="Arial" w:cs="Arial" w:eastAsia="Arial" w:hAnsi="Arial"/>
          <w:sz w:val="22"/>
          <w:szCs w:val="22"/>
        </w:rPr>
        <w:t xml:space="preserve">If the inventory pattern-count is below five or above fifteen, or if the distributional spread of forms is not within an order of magnitude of either Hebrew or Arabic, the Semitic-framework typological hypothesis is weakened and an alternative typology (Indo-European ablaut, agglutinative-templatic, constructed) must be considered.</w:t>
      </w:r>
    </w:p>
    <w:p>
      <w:pPr>
        <w:pStyle w:val="Heading2"/>
        <w:spacing w:after="160" w:before="280"/>
      </w:pPr>
      <w:r>
        <w:rPr>
          <w:rFonts w:ascii="Arial" w:cs="Arial" w:eastAsia="Arial" w:hAnsi="Arial"/>
          <w:b/>
          <w:bCs/>
          <w:sz w:val="26"/>
          <w:szCs w:val="26"/>
        </w:rPr>
        <w:t xml:space="preserve">9.6 Open questions not pre-registered</w:t>
      </w:r>
    </w:p>
    <w:p>
      <w:pPr>
        <w:spacing w:after="140" w:line="320"/>
      </w:pPr>
      <w:r>
        <w:rPr>
          <w:rFonts w:ascii="Arial" w:cs="Arial" w:eastAsia="Arial" w:hAnsi="Arial"/>
          <w:b/>
          <w:bCs/>
          <w:sz w:val="22"/>
          <w:szCs w:val="22"/>
        </w:rPr>
        <w:t xml:space="preserve">O1. </w:t>
      </w:r>
      <w:r>
        <w:rPr>
          <w:rFonts w:ascii="Arial" w:cs="Arial" w:eastAsia="Arial" w:hAnsi="Arial"/>
          <w:sz w:val="22"/>
          <w:szCs w:val="22"/>
        </w:rPr>
        <w:t xml:space="preserve">The semantic content of any specific Voynich form. The present paper makes no semantic claim; the behavioural-anchoring tests of 9.3 and 9.4 are the prerequisites for any responsible semantic work.</w:t>
      </w:r>
    </w:p>
    <w:p>
      <w:pPr>
        <w:spacing w:after="140" w:line="320"/>
      </w:pPr>
      <w:r>
        <w:rPr>
          <w:rFonts w:ascii="Arial" w:cs="Arial" w:eastAsia="Arial" w:hAnsi="Arial"/>
          <w:b/>
          <w:bCs/>
          <w:sz w:val="22"/>
          <w:szCs w:val="22"/>
        </w:rPr>
        <w:t xml:space="preserve">O2. </w:t>
      </w:r>
      <w:r>
        <w:rPr>
          <w:rFonts w:ascii="Arial" w:cs="Arial" w:eastAsia="Arial" w:hAnsi="Arial"/>
          <w:sz w:val="22"/>
          <w:szCs w:val="22"/>
        </w:rPr>
        <w:t xml:space="preserve">The relationship between the Voynich script and the EVA transcription. Some EVA digraphs (ch, sh, th) represent single Voynich glyphs; the morphological statistics reported here are conservative lower bounds on the actual glyph-level structure.</w:t>
      </w:r>
    </w:p>
    <w:p>
      <w:pPr>
        <w:spacing w:after="140" w:line="320"/>
      </w:pPr>
      <w:r>
        <w:rPr>
          <w:rFonts w:ascii="Arial" w:cs="Arial" w:eastAsia="Arial" w:hAnsi="Arial"/>
          <w:b/>
          <w:bCs/>
          <w:sz w:val="22"/>
          <w:szCs w:val="22"/>
        </w:rPr>
        <w:t xml:space="preserve">O3. </w:t>
      </w:r>
      <w:r>
        <w:rPr>
          <w:rFonts w:ascii="Arial" w:cs="Arial" w:eastAsia="Arial" w:hAnsi="Arial"/>
          <w:sz w:val="22"/>
          <w:szCs w:val="22"/>
        </w:rPr>
        <w:t xml:space="preserve">The geographical and chronological location of production. The radiocarbon date constrains the vellum; it does not constrain the text. No location, school, or scribal tradition is identified by the present analysis.</w:t>
      </w:r>
    </w:p>
    <w:p>
      <w:pPr>
        <w:pStyle w:val="Heading1"/>
        <w:spacing w:after="200" w:before="360"/>
      </w:pPr>
      <w:r>
        <w:rPr>
          <w:rFonts w:ascii="Arial" w:cs="Arial" w:eastAsia="Arial" w:hAnsi="Arial"/>
          <w:b/>
          <w:bCs/>
          <w:sz w:val="32"/>
          <w:szCs w:val="32"/>
        </w:rPr>
        <w:t xml:space="preserve">10. Status summary of findings</w:t>
      </w:r>
    </w:p>
    <w:p>
      <w:pPr>
        <w:spacing w:after="140" w:line="320"/>
      </w:pPr>
      <w:r>
        <w:rPr>
          <w:rFonts w:ascii="Arial" w:cs="Arial" w:eastAsia="Arial" w:hAnsi="Arial"/>
          <w:sz w:val="22"/>
          <w:szCs w:val="22"/>
        </w:rPr>
        <w:t xml:space="preserve">The following table summarises all numbered findings reported in this paper, with their status tags and the section in which the supporting analysis is 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1300"/>
        <w:gridCol w:w="1760"/>
      </w:tblGrid>
      <w:tr>
        <w:tc>
          <w:tcPr>
            <w:tcW w:type="dxa" w:w="5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w:t>
            </w:r>
          </w:p>
        </w:tc>
        <w:tc>
          <w:tcPr>
            <w:tcW w:type="dxa" w:w="58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Finding</w:t>
            </w:r>
          </w:p>
        </w:tc>
        <w:tc>
          <w:tcPr>
            <w:tcW w:type="dxa" w:w="130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1760"/>
            <w:tcBorders>
              <w:top w:val="single" w:color="999999" w:sz="1"/>
              <w:left w:val="single" w:color="999999" w:sz="1"/>
              <w:bottom w:val="single" w:color="999999" w:sz="1"/>
              <w:right w:val="single" w:color="999999" w:sz="1"/>
            </w:tcBorders>
            <w:shd w:fill="DCDCDC" w:val="clear"/>
            <w:tcMar>
              <w:top w:type="dxa" w:w="60"/>
              <w:left w:type="dxa" w:w="100"/>
              <w:bottom w:type="dxa" w:w="60"/>
              <w:right w:type="dxa" w:w="100"/>
            </w:tcMar>
          </w:tcPr>
          <w:p>
            <w:r>
              <w:rPr>
                <w:rFonts w:ascii="Arial" w:cs="Arial" w:eastAsia="Arial" w:hAnsi="Arial"/>
                <w:b/>
                <w:bCs/>
                <w:sz w:val="18"/>
                <w:szCs w:val="18"/>
              </w:rPr>
              <w:t xml:space="preserve">Section</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F1</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Corpus baseline: 38,063 tokens, 8,302 types, 184 folios</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F2</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76.1% of tokens decompose under the inventory grammar</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3</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F3</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Residue is hapax-dominated near-misses, not orthogonal structure</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CANDIDATE</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F4</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o/e contrariety: 52/53 measurable pairs, p ≈ 1.2 × 10⁻¹⁴</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4</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F5</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Contrariety operates at section-register level, not paragraph</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F6</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Grade × suffix coupling: χ² = 106.1 (ch-d), corpus-wide signal</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F7</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Binyan-style fused-template morphology</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F8</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Ten-binyan inventory (eight locked, two new candidates)</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STRONG</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5.1</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F9</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Eleven productive paradigms with ≥3 attested forms</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F10</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cth- paradigm in herbal-A (4 forms, specificity to 33.6)</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6.1</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F11</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lk- paradigm in stars (5 forms, specificity to 16.2)</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6.2</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F12</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cheo-/sheo- paradigm in pharm-herbal (12 forms)</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6.3</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F13</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chor / chol single-paradigm: r = 0.9924 across 26 wrappers</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6.4</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F14</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Grammatical backbone: 12+ items with CV ≤ 0.30 across sections</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7</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F15</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Two-tier vocabulary organisation (uniform backbone + section lexica)</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LOCKED</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F16</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Three of five Canon-comparison tests match</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STRONG</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8</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F17</w:t>
            </w:r>
          </w:p>
        </w:tc>
        <w:tc>
          <w:tcPr>
            <w:tcW w:type="dxa" w:w="5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Voynich is structurally a cousin, not a derivative, of the Canon</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STRONG</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8.6</w:t>
            </w:r>
          </w:p>
        </w:tc>
      </w:tr>
      <w:tr>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F18</w:t>
            </w:r>
          </w:p>
        </w:tc>
        <w:tc>
          <w:tcPr>
            <w:tcW w:type="dxa" w:w="5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Five pre-registered next tests with falsification conditions</w:t>
            </w:r>
          </w:p>
        </w:tc>
        <w:tc>
          <w:tcPr>
            <w:tcW w:type="dxa" w:w="1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OPEN</w:t>
            </w:r>
          </w:p>
        </w:tc>
        <w:tc>
          <w:tcPr>
            <w:tcW w:type="dxa" w:w="176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Arial" w:cs="Arial" w:eastAsia="Arial" w:hAnsi="Arial"/>
                <w:b w:val="false"/>
                <w:bCs w:val="false"/>
                <w:sz w:val="18"/>
                <w:szCs w:val="18"/>
              </w:rPr>
              <w:t xml:space="preserve">9</w:t>
            </w:r>
          </w:p>
        </w:tc>
      </w:tr>
    </w:tbl>
    <w:p>
      <w:pPr>
        <w:pStyle w:val="Heading1"/>
        <w:spacing w:after="200" w:before="360"/>
      </w:pPr>
      <w:r>
        <w:rPr>
          <w:rFonts w:ascii="Arial" w:cs="Arial" w:eastAsia="Arial" w:hAnsi="Arial"/>
          <w:b/>
          <w:bCs/>
          <w:sz w:val="32"/>
          <w:szCs w:val="32"/>
        </w:rPr>
        <w:t xml:space="preserve">Acknowledgements</w:t>
      </w:r>
    </w:p>
    <w:p>
      <w:pPr>
        <w:spacing w:after="140" w:line="320"/>
      </w:pPr>
      <w:r>
        <w:rPr>
          <w:rFonts w:ascii="Arial" w:cs="Arial" w:eastAsia="Arial" w:hAnsi="Arial"/>
          <w:sz w:val="22"/>
          <w:szCs w:val="22"/>
        </w:rPr>
        <w:t xml:space="preserve">The Zandbergen–Landini EVA transcription (ZL3b-n, version 3b of 13 May 2025) is the data foundation for this analysis; the corpus is openly available at voynich.nu and the author is indebted to René Zandbergen and Marco Ponzi (and to all prior contributors to the EVMT project) for the years of work that produced and maintained it. The author is also indebted to the broader Voynich research community whose collective distributional and statistical work is referenced throughout.</w:t>
      </w:r>
    </w:p>
    <w:p>
      <w:pPr>
        <w:spacing w:after="140" w:line="320"/>
      </w:pPr>
      <w:r>
        <w:rPr>
          <w:rFonts w:ascii="Arial" w:cs="Arial" w:eastAsia="Arial" w:hAnsi="Arial"/>
          <w:sz w:val="22"/>
          <w:szCs w:val="22"/>
        </w:rPr>
        <w:t xml:space="preserve">Tokenisation, statistical analysis, paradigm enumeration, and manuscript drafting were performed with computational assistance from Claude (Anthropic). All methodological decisions, hypothesis formation, falsification design, statistical-test pre-registration, and final interpretation are the responsibility of the author.</w:t>
      </w:r>
    </w:p>
    <w:p>
      <w:pPr>
        <w:pStyle w:val="Heading1"/>
        <w:spacing w:after="200" w:before="360"/>
      </w:pPr>
      <w:r>
        <w:rPr>
          <w:rFonts w:ascii="Arial" w:cs="Arial" w:eastAsia="Arial" w:hAnsi="Arial"/>
          <w:b/>
          <w:bCs/>
          <w:sz w:val="32"/>
          <w:szCs w:val="32"/>
        </w:rPr>
        <w:t xml:space="preserve">Data and code availability</w:t>
      </w:r>
    </w:p>
    <w:p>
      <w:pPr>
        <w:spacing w:after="140" w:line="320"/>
      </w:pPr>
      <w:r>
        <w:rPr>
          <w:rFonts w:ascii="Arial" w:cs="Arial" w:eastAsia="Arial" w:hAnsi="Arial"/>
          <w:sz w:val="22"/>
          <w:szCs w:val="22"/>
        </w:rPr>
        <w:t xml:space="preserve">The ZL3b-n corpus file (as used at the time of writing), the v4 tokeniser, the analysis scripts underlying every numerical claim in this paper, and the folio-to-section assignment table are available as supplementary materials to this Zenodo deposit. The supplementary materials include a README describing the file layout and the commands required to reproduce each table and statistical test in this paper. The author welcomes correspondence on tokenisation-policy alternatives and on replication results, and undertakes to correct the record in subsequent revisions of this preprint where errors are identified.</w:t>
      </w:r>
    </w:p>
    <w:p>
      <w:pPr>
        <w:pStyle w:val="Heading1"/>
        <w:spacing w:after="200" w:before="360"/>
      </w:pPr>
      <w:r>
        <w:rPr>
          <w:rFonts w:ascii="Arial" w:cs="Arial" w:eastAsia="Arial" w:hAnsi="Arial"/>
          <w:b/>
          <w:bCs/>
          <w:sz w:val="32"/>
          <w:szCs w:val="32"/>
        </w:rPr>
        <w:t xml:space="preserve">References</w:t>
      </w:r>
    </w:p>
    <w:p>
      <w:pPr>
        <w:spacing w:after="140" w:line="320"/>
      </w:pPr>
      <w:r>
        <w:rPr>
          <w:rFonts w:ascii="Arial" w:cs="Arial" w:eastAsia="Arial" w:hAnsi="Arial"/>
          <w:i/>
          <w:iCs/>
          <w:sz w:val="22"/>
          <w:szCs w:val="22"/>
        </w:rPr>
        <w:t xml:space="preserve">Bowern, C. and Lindemann, L. (2021). </w:t>
      </w:r>
      <w:r>
        <w:rPr>
          <w:rFonts w:ascii="Arial" w:cs="Arial" w:eastAsia="Arial" w:hAnsi="Arial"/>
          <w:sz w:val="22"/>
          <w:szCs w:val="22"/>
        </w:rPr>
        <w:t xml:space="preserve">Voynich: Genre, Register, Encryption, or Hoax? Inheritance of statistical features. Yale Working Papers.</w:t>
      </w:r>
    </w:p>
    <w:p>
      <w:pPr>
        <w:spacing w:after="140" w:line="320"/>
      </w:pPr>
      <w:r>
        <w:rPr>
          <w:rFonts w:ascii="Arial" w:cs="Arial" w:eastAsia="Arial" w:hAnsi="Arial"/>
          <w:i/>
          <w:iCs/>
          <w:sz w:val="22"/>
          <w:szCs w:val="22"/>
        </w:rPr>
        <w:t xml:space="preserve">Currier, P. H. (1976). </w:t>
      </w:r>
      <w:r>
        <w:rPr>
          <w:rFonts w:ascii="Arial" w:cs="Arial" w:eastAsia="Arial" w:hAnsi="Arial"/>
          <w:sz w:val="22"/>
          <w:szCs w:val="22"/>
        </w:rPr>
        <w:t xml:space="preserve">New Research on the Voynich Manuscript: Proceedings of a Seminar. Privately circulated. Reprinted in D'Imperio, M.E. (ed.) (1978).</w:t>
      </w:r>
    </w:p>
    <w:p>
      <w:pPr>
        <w:spacing w:after="140" w:line="320"/>
      </w:pPr>
      <w:r>
        <w:rPr>
          <w:rFonts w:ascii="Arial" w:cs="Arial" w:eastAsia="Arial" w:hAnsi="Arial"/>
          <w:i/>
          <w:iCs/>
          <w:sz w:val="22"/>
          <w:szCs w:val="22"/>
        </w:rPr>
        <w:t xml:space="preserve">Davis, L. F. (2020). </w:t>
      </w:r>
      <w:r>
        <w:rPr>
          <w:rFonts w:ascii="Arial" w:cs="Arial" w:eastAsia="Arial" w:hAnsi="Arial"/>
          <w:sz w:val="22"/>
          <w:szCs w:val="22"/>
        </w:rPr>
        <w:t xml:space="preserve">How many glyphs and how many scribes? Digital paleography and the Voynich manuscript. Manuscript Studies 5(1).</w:t>
      </w:r>
    </w:p>
    <w:p>
      <w:pPr>
        <w:spacing w:after="140" w:line="320"/>
      </w:pPr>
      <w:r>
        <w:rPr>
          <w:rFonts w:ascii="Arial" w:cs="Arial" w:eastAsia="Arial" w:hAnsi="Arial"/>
          <w:i/>
          <w:iCs/>
          <w:sz w:val="22"/>
          <w:szCs w:val="22"/>
        </w:rPr>
        <w:t xml:space="preserve">D'Imperio, M. E. (1978). </w:t>
      </w:r>
      <w:r>
        <w:rPr>
          <w:rFonts w:ascii="Arial" w:cs="Arial" w:eastAsia="Arial" w:hAnsi="Arial"/>
          <w:sz w:val="22"/>
          <w:szCs w:val="22"/>
        </w:rPr>
        <w:t xml:space="preserve">The Voynich Manuscript: An Elegant Enigma. National Security Agency / Central Security Service, Fort George G. Meade.</w:t>
      </w:r>
    </w:p>
    <w:p>
      <w:pPr>
        <w:spacing w:after="140" w:line="320"/>
      </w:pPr>
      <w:r>
        <w:rPr>
          <w:rFonts w:ascii="Arial" w:cs="Arial" w:eastAsia="Arial" w:hAnsi="Arial"/>
          <w:i/>
          <w:iCs/>
          <w:sz w:val="22"/>
          <w:szCs w:val="22"/>
        </w:rPr>
        <w:t xml:space="preserve">Hodgins, G. (2011). </w:t>
      </w:r>
      <w:r>
        <w:rPr>
          <w:rFonts w:ascii="Arial" w:cs="Arial" w:eastAsia="Arial" w:hAnsi="Arial"/>
          <w:sz w:val="22"/>
          <w:szCs w:val="22"/>
        </w:rPr>
        <w:t xml:space="preserve">Radiocarbon dating of the Voynich Manuscript. Arizona Accelerator Mass Spectrometry Laboratory.</w:t>
      </w:r>
    </w:p>
    <w:p>
      <w:pPr>
        <w:spacing w:after="140" w:line="320"/>
      </w:pPr>
      <w:r>
        <w:rPr>
          <w:rFonts w:ascii="Arial" w:cs="Arial" w:eastAsia="Arial" w:hAnsi="Arial"/>
          <w:i/>
          <w:iCs/>
          <w:sz w:val="22"/>
          <w:szCs w:val="22"/>
        </w:rPr>
        <w:t xml:space="preserve">Ibn Sīnā [Avicenna]. </w:t>
      </w:r>
      <w:r>
        <w:rPr>
          <w:rFonts w:ascii="Arial" w:cs="Arial" w:eastAsia="Arial" w:hAnsi="Arial"/>
          <w:sz w:val="22"/>
          <w:szCs w:val="22"/>
        </w:rPr>
        <w:t xml:space="preserve">al-Qānūn fī al-Ṭibb (The Canon of Medicine), Book II. Hamdard edition (Hakim Mohammed Said and colleagues, 1973–1998 English translation), consulted for the structural comparison of Section 8.</w:t>
      </w:r>
    </w:p>
    <w:p>
      <w:pPr>
        <w:spacing w:after="140" w:line="320"/>
      </w:pPr>
      <w:r>
        <w:rPr>
          <w:rFonts w:ascii="Arial" w:cs="Arial" w:eastAsia="Arial" w:hAnsi="Arial"/>
          <w:i/>
          <w:iCs/>
          <w:sz w:val="22"/>
          <w:szCs w:val="22"/>
        </w:rPr>
        <w:t xml:space="preserve">Pelling, N. (2006). </w:t>
      </w:r>
      <w:r>
        <w:rPr>
          <w:rFonts w:ascii="Arial" w:cs="Arial" w:eastAsia="Arial" w:hAnsi="Arial"/>
          <w:sz w:val="22"/>
          <w:szCs w:val="22"/>
        </w:rPr>
        <w:t xml:space="preserve">The Curse of the Voynich. Compelling Press.</w:t>
      </w:r>
    </w:p>
    <w:p>
      <w:pPr>
        <w:spacing w:after="140" w:line="320"/>
      </w:pPr>
      <w:r>
        <w:rPr>
          <w:rFonts w:ascii="Arial" w:cs="Arial" w:eastAsia="Arial" w:hAnsi="Arial"/>
          <w:i/>
          <w:iCs/>
          <w:sz w:val="22"/>
          <w:szCs w:val="22"/>
        </w:rPr>
        <w:t xml:space="preserve">Reddy, S. and Knight, K. (2011). </w:t>
      </w:r>
      <w:r>
        <w:rPr>
          <w:rFonts w:ascii="Arial" w:cs="Arial" w:eastAsia="Arial" w:hAnsi="Arial"/>
          <w:sz w:val="22"/>
          <w:szCs w:val="22"/>
        </w:rPr>
        <w:t xml:space="preserve">What we know about the Voynich manuscript. Proceedings of the 5th ACL-HLT Workshop on Language Technology for Cultural Heritage, Social Sciences, and Humanities, 78–86.</w:t>
      </w:r>
    </w:p>
    <w:p>
      <w:pPr>
        <w:spacing w:after="140" w:line="320"/>
      </w:pPr>
      <w:r>
        <w:rPr>
          <w:rFonts w:ascii="Arial" w:cs="Arial" w:eastAsia="Arial" w:hAnsi="Arial"/>
          <w:i/>
          <w:iCs/>
          <w:sz w:val="22"/>
          <w:szCs w:val="22"/>
        </w:rPr>
        <w:t xml:space="preserve">Stolfi, J. (1997 onwards). </w:t>
      </w:r>
      <w:r>
        <w:rPr>
          <w:rFonts w:ascii="Arial" w:cs="Arial" w:eastAsia="Arial" w:hAnsi="Arial"/>
          <w:sz w:val="22"/>
          <w:szCs w:val="22"/>
        </w:rPr>
        <w:t xml:space="preserve">A grammar of the Voynichese script. Online manuscript (Universidade Estadual de Campinas, IC-Unicamp).</w:t>
      </w:r>
    </w:p>
    <w:p>
      <w:pPr>
        <w:spacing w:after="140" w:line="320"/>
      </w:pPr>
      <w:r>
        <w:rPr>
          <w:rFonts w:ascii="Arial" w:cs="Arial" w:eastAsia="Arial" w:hAnsi="Arial"/>
          <w:i/>
          <w:iCs/>
          <w:sz w:val="22"/>
          <w:szCs w:val="22"/>
        </w:rPr>
        <w:t xml:space="preserve">Zandbergen, R. and Landini, G. (ongoing). </w:t>
      </w:r>
      <w:r>
        <w:rPr>
          <w:rFonts w:ascii="Arial" w:cs="Arial" w:eastAsia="Arial" w:hAnsi="Arial"/>
          <w:sz w:val="22"/>
          <w:szCs w:val="22"/>
        </w:rPr>
        <w:t xml:space="preserve">voynich.nu: the EVMT project and the ZL EVA transcription. Available at https://www.voynich.nu.</w:t>
      </w:r>
    </w:p>
    <w:p>
      <w:pPr>
        <w:spacing w:after="140" w:line="320"/>
        <w:jc w:val="center"/>
      </w:pPr>
      <w:r>
        <w:rPr>
          <w:rFonts w:ascii="Arial" w:cs="Arial" w:eastAsia="Arial" w:hAnsi="Arial"/>
          <w:i/>
          <w:iCs/>
          <w:sz w:val="22"/>
          <w:szCs w:val="22"/>
        </w:rPr>
        <w:t xml:space="preserve">— end of preprint v1.0 —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Gonzalez · Voynich preprint v1.0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Productive Paradigms in the Voynich Manuscript: A Distributional Analysis of ZL3b-n</dc:title>
  <dc:creator>Vincent Gonzalez</dc:creator>
  <cp:lastModifiedBy>Un-named</cp:lastModifiedBy>
  <cp:revision>1</cp:revision>
  <dcterms:created xsi:type="dcterms:W3CDTF">2026-05-12T15:24:41.734Z</dcterms:created>
  <dcterms:modified xsi:type="dcterms:W3CDTF">2026-05-12T15:24:41.734Z</dcterms:modified>
</cp:coreProperties>
</file>

<file path=docProps/custom.xml><?xml version="1.0" encoding="utf-8"?>
<Properties xmlns="http://schemas.openxmlformats.org/officeDocument/2006/custom-properties" xmlns:vt="http://schemas.openxmlformats.org/officeDocument/2006/docPropsVTypes"/>
</file>