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VOYNICH SESSION RECORD</w:t>
      </w:r>
    </w:p>
    <w:p>
      <w:pPr>
        <w:spacing w:after="60"/>
        <w:jc w:val="center"/>
      </w:pPr>
      <w:r>
        <w:rPr>
          <w:i/>
          <w:iCs/>
          <w:sz w:val="28"/>
          <w:szCs w:val="28"/>
        </w:rPr>
        <w:t xml:space="preserve">The cth- Botanical Anchoring Test</w:t>
      </w:r>
    </w:p>
    <w:p>
      <w:pPr>
        <w:spacing w:after="360"/>
        <w:jc w:val="center"/>
      </w:pPr>
      <w:r>
        <w:rPr>
          <w:sz w:val="22"/>
          <w:szCs w:val="22"/>
        </w:rPr>
        <w:t xml:space="preserve">Vince Gonzalez + Claude · 13 May 2026</w:t>
      </w:r>
    </w:p>
    <w:p>
      <w:pPr>
        <w:pStyle w:val="Heading1"/>
        <w:spacing w:after="180" w:before="360"/>
      </w:pPr>
      <w:r>
        <w:rPr>
          <w:b/>
          <w:bCs/>
          <w:sz w:val="32"/>
          <w:szCs w:val="32"/>
        </w:rPr>
        <w:t xml:space="preserve">Session purpose</w:t>
      </w:r>
    </w:p>
    <w:p>
      <w:pPr>
        <w:spacing w:after="120"/>
      </w:pPr>
      <w:r>
        <w:t xml:space="preserve">Following the Twelve-Juror academic convocation and Sixfold Bench review of the Voynich preprint draft v1.0, the Bio-Architect and Classicist converged on the same forward-priority test: §9.3, the cth- paradigm botanical anchoring test. The Bio-Architect named it tactically (promote to first position); the Classicist named it strategically (the test on which the paper's long-term durability depends). It is the only test among the §9 programme that could connect the morphological grammar to extra-textual reality.</w:t>
      </w:r>
    </w:p>
    <w:p>
      <w:pPr>
        <w:spacing w:after="120"/>
      </w:pPr>
      <w:r>
        <w:t xml:space="preserve">This session ran a preliminary version of that test, with pre-registered predictions and falsification thresholds, using cross-reference between (a) Claude's machine inventory of cth- forms per folio and (b) Vince's visual inspection of the corresponding Beinecke MS 408 folios.</w:t>
      </w:r>
    </w:p>
    <w:p>
      <w:pPr>
        <w:pStyle w:val="Heading1"/>
        <w:spacing w:after="180" w:before="360"/>
      </w:pPr>
      <w:r>
        <w:rPr>
          <w:b/>
          <w:bCs/>
          <w:sz w:val="32"/>
          <w:szCs w:val="32"/>
        </w:rPr>
        <w:t xml:space="preserve">Pre-existing locked findings entering this session</w:t>
      </w:r>
    </w:p>
    <w:p>
      <w:pPr>
        <w:pStyle w:val="ListParagraph"/>
        <w:numPr>
          <w:ilvl w:val="0"/>
          <w:numId w:val="2"/>
        </w:numPr>
        <w:spacing w:after="80"/>
      </w:pPr>
      <w:r>
        <w:t xml:space="preserve">The cth- paradigm in herbal-A is morphologically real: cthor (spec 33.6, highest in corpus), cthy, cthol, cthey, plus extended forms (cthody, ctheody, ctheod, qocthol, etc.).</w:t>
      </w:r>
    </w:p>
    <w:p>
      <w:pPr>
        <w:pStyle w:val="ListParagraph"/>
        <w:numPr>
          <w:ilvl w:val="0"/>
          <w:numId w:val="2"/>
        </w:numPr>
        <w:spacing w:after="80"/>
      </w:pPr>
      <w:r>
        <w:t xml:space="preserve">Vowel-grade × suffix coupling is locked (χ² coupling, ch-d binyan finding, May 12).</w:t>
      </w:r>
    </w:p>
    <w:p>
      <w:pPr>
        <w:pStyle w:val="ListParagraph"/>
        <w:numPr>
          <w:ilvl w:val="0"/>
          <w:numId w:val="2"/>
        </w:numPr>
        <w:spacing w:after="80"/>
      </w:pPr>
      <w:r>
        <w:t xml:space="preserve">cth- forms concentrate in herbal-A; very rare elsewhere.</w:t>
      </w:r>
    </w:p>
    <w:p>
      <w:pPr>
        <w:pStyle w:val="ListParagraph"/>
        <w:numPr>
          <w:ilvl w:val="0"/>
          <w:numId w:val="2"/>
        </w:numPr>
        <w:spacing w:after="80"/>
      </w:pPr>
      <w:r>
        <w:t xml:space="preserve">Tokenizer v4 baseline: 38,063 tokens / 8,302 types / 184 folios.</w:t>
      </w:r>
    </w:p>
    <w:p>
      <w:pPr>
        <w:pStyle w:val="ListParagraph"/>
        <w:numPr>
          <w:ilvl w:val="0"/>
          <w:numId w:val="2"/>
        </w:numPr>
        <w:spacing w:after="80"/>
      </w:pPr>
      <w:r>
        <w:t xml:space="preserve">76.1% of corpus tokens decompose under locked grammar.</w:t>
      </w:r>
    </w:p>
    <w:p>
      <w:pPr>
        <w:pStyle w:val="Heading1"/>
        <w:spacing w:after="180" w:before="360"/>
      </w:pPr>
      <w:r>
        <w:rPr>
          <w:b/>
          <w:bCs/>
          <w:sz w:val="32"/>
          <w:szCs w:val="32"/>
        </w:rPr>
        <w:t xml:space="preserve">Test 1 — Dominance partitioning (negative result)</w:t>
      </w:r>
    </w:p>
    <w:p>
      <w:pPr>
        <w:pStyle w:val="Heading2"/>
        <w:spacing w:after="140" w:before="280"/>
      </w:pPr>
      <w:r>
        <w:rPr>
          <w:b/>
          <w:bCs/>
          <w:sz w:val="26"/>
          <w:szCs w:val="26"/>
        </w:rPr>
        <w:t xml:space="preserve">Design</w:t>
      </w:r>
    </w:p>
    <w:p>
      <w:pPr>
        <w:spacing w:after="120"/>
      </w:pPr>
      <w:r>
        <w:t xml:space="preserve">Pre-registered question: do herbal-A folios sharing a dominant cth- form (the most-frequent cth- token on that folio) cluster morphologically? Test: standardize folio profiles on seven morphological markers (C3suf_pct, C3pre_pct, C4pre_pct, chedy_k, chor_k, qok_k, aiin_k), compute within-group vs between-group euclidean distance, run a 5000-iteration permutation null.</w:t>
      </w:r>
    </w:p>
    <w:p>
      <w:pPr>
        <w:spacing w:after="120"/>
      </w:pPr>
      <w:r>
        <w:t xml:space="preserve">Sample: 59 herbal-A folios with both a profile and a dominant cth- form drawn from {cthor, cthy, cthol}. (cthey n=8 reported separately due to low power.) </w:t>
      </w:r>
    </w:p>
    <w:p>
      <w:pPr>
        <w:pStyle w:val="Heading2"/>
        <w:spacing w:after="140" w:before="280"/>
      </w:pPr>
      <w:r>
        <w:rPr>
          <w:b/>
          <w:bCs/>
          <w:sz w:val="26"/>
          <w:szCs w:val="26"/>
        </w:rPr>
        <w:t xml:space="preserve">Pre-registered predictions</w:t>
      </w:r>
    </w:p>
    <w:p>
      <w:pPr>
        <w:pStyle w:val="ListParagraph"/>
        <w:numPr>
          <w:ilvl w:val="0"/>
          <w:numId w:val="2"/>
        </w:numPr>
        <w:spacing w:after="80"/>
      </w:pPr>
      <w:r>
        <w:t xml:space="preserve">P1: within/between distance ratio &lt; 1, percentile &lt; 5th on permutation null.</w:t>
      </w:r>
    </w:p>
    <w:p>
      <w:pPr>
        <w:pStyle w:val="ListParagraph"/>
        <w:numPr>
          <w:ilvl w:val="0"/>
          <w:numId w:val="2"/>
        </w:numPr>
        <w:spacing w:after="80"/>
      </w:pPr>
      <w:r>
        <w:t xml:space="preserve">P2: at least one feature differs across the three groups at Kruskal-Wallis p &lt; 0.01.</w:t>
      </w:r>
    </w:p>
    <w:p>
      <w:pPr>
        <w:pStyle w:val="ListParagraph"/>
        <w:numPr>
          <w:ilvl w:val="0"/>
          <w:numId w:val="2"/>
        </w:numPr>
        <w:spacing w:after="80"/>
      </w:pPr>
      <w:r>
        <w:t xml:space="preserve">P3 (falsification): if neither P1 nor P2 holds, Test 1 fails.</w:t>
      </w:r>
    </w:p>
    <w:p>
      <w:pPr>
        <w:pStyle w:val="Heading2"/>
        <w:spacing w:after="140" w:before="280"/>
      </w:pPr>
      <w:r>
        <w:rPr>
          <w:b/>
          <w:bCs/>
          <w:sz w:val="26"/>
          <w:szCs w:val="26"/>
        </w:rPr>
        <w:t xml:space="preserve">Result</w:t>
      </w:r>
    </w:p>
    <w:p>
      <w:pPr>
        <w:spacing w:after="120"/>
      </w:pPr>
      <w:r>
        <w:t xml:space="preserve">Observed within/between ratio = </w:t>
      </w:r>
      <w:r>
        <w:rPr>
          <w:b/>
          <w:bCs/>
        </w:rPr>
        <w:t xml:space="preserve">0.988</w:t>
      </w:r>
      <w:r>
        <w:t xml:space="preserve"> (essentially 1.0). Permutation null: observed sits at the 36th percentile, p = 0.36. No clustering. P1 fails.</w:t>
      </w:r>
    </w:p>
    <w:p>
      <w:pPr>
        <w:spacing w:after="120"/>
      </w:pPr>
      <w:r>
        <w:t xml:space="preserve">Kruskal-Wallis per feature: only chor_k shows a between-group difference (H = 6.58, p = 0.036) — does not clear the pre-registered p &lt; 0.01 bar. With seven features tested and no correction, this is consistent with noise. P2 fails.</w:t>
      </w:r>
    </w:p>
    <w:p>
      <w:pPr>
        <w:spacing w:after="120"/>
      </w:pPr>
      <w:r>
        <w:rPr>
          <w:b/>
          <w:bCs/>
        </w:rPr>
        <w:t xml:space="preserve">P3 triggers. Test 1 is falsified as stated.</w:t>
      </w:r>
      <w:r>
        <w:t xml:space="preserve"> The dominant cth- form does not predict the folio's broader morphological profile.</w:t>
      </w:r>
    </w:p>
    <w:p>
      <w:pPr>
        <w:pStyle w:val="Heading2"/>
        <w:spacing w:after="140" w:before="280"/>
      </w:pPr>
      <w:r>
        <w:rPr>
          <w:b/>
          <w:bCs/>
          <w:sz w:val="26"/>
          <w:szCs w:val="26"/>
        </w:rPr>
        <w:t xml:space="preserve">Interpretation</w:t>
      </w:r>
    </w:p>
    <w:p>
      <w:pPr>
        <w:spacing w:after="120"/>
      </w:pPr>
      <w:r>
        <w:t xml:space="preserve">The cth- forms partition tokens into morphological classes (the locked paradigm finding stands) but do not partition herbal-A folios into morphological sub-registers. The four cth- forms coexist on the same kinds of folios. Their distribution is token-level grammar, not folio-level register.</w:t>
      </w:r>
    </w:p>
    <w:p>
      <w:pPr>
        <w:spacing w:after="120"/>
      </w:pPr>
      <w:r>
        <w:t xml:space="preserve">This is informative: herbal-A is morphologically homogeneous as a section, and the cth- alternation operates within-folio (likely within-entry), not across folios. This is also the cleanest pre-registered negative result in the project to date and should be reported honestly in the §9.3 write-up.</w:t>
      </w:r>
    </w:p>
    <w:p>
      <w:pPr>
        <w:pStyle w:val="Heading1"/>
        <w:spacing w:after="180" w:before="360"/>
      </w:pPr>
      <w:r>
        <w:rPr>
          <w:b/>
          <w:bCs/>
          <w:sz w:val="32"/>
          <w:szCs w:val="32"/>
        </w:rPr>
        <w:t xml:space="preserve">Test 2 — Visual cross-reference (positive preliminary result)</w:t>
      </w:r>
    </w:p>
    <w:p>
      <w:pPr>
        <w:pStyle w:val="Heading2"/>
        <w:spacing w:after="140" w:before="280"/>
      </w:pPr>
      <w:r>
        <w:rPr>
          <w:b/>
          <w:bCs/>
          <w:sz w:val="26"/>
          <w:szCs w:val="26"/>
        </w:rPr>
        <w:t xml:space="preserve">Design</w:t>
      </w:r>
    </w:p>
    <w:p>
      <w:pPr>
        <w:spacing w:after="120"/>
      </w:pPr>
      <w:r>
        <w:t xml:space="preserve">Test 1 used dominance, which is coarse. Test 2 used a finer-grained approach: identify sparse cth- forms (2–5 occurrences in all of herbal-A) and find folios that share these rare forms. Then ask whether folios with shared rare cth- forms also share visible botanical features.</w:t>
      </w:r>
    </w:p>
    <w:p>
      <w:pPr>
        <w:spacing w:after="120"/>
      </w:pPr>
      <w:r>
        <w:t xml:space="preserve">Machine inventory ran first; visual inspection ran second; observations were recorded before reveal of cth- contents (with caveats for repeat folios).</w:t>
      </w:r>
    </w:p>
    <w:p>
      <w:pPr>
        <w:pStyle w:val="Heading2"/>
        <w:spacing w:after="140" w:before="280"/>
      </w:pPr>
      <w:r>
        <w:rPr>
          <w:b/>
          <w:bCs/>
          <w:sz w:val="26"/>
          <w:szCs w:val="26"/>
        </w:rPr>
        <w:t xml:space="preserve">Stage 2A — Non-blind exploratory pulls</w:t>
      </w:r>
    </w:p>
    <w:p>
      <w:pPr>
        <w:spacing w:after="120"/>
      </w:pPr>
      <w:r>
        <w:t xml:space="preserve">First set: pure-form and shared-rare-form folio batches.</w:t>
      </w:r>
    </w:p>
    <w:p>
      <w:pPr>
        <w:spacing w:after="120"/>
      </w:pPr>
      <w:r>
        <w:rPr>
          <w:b/>
          <w:bCs/>
        </w:rPr>
        <w:t xml:space="preserve">Observed associations: </w:t>
      </w:r>
    </w:p>
    <w:p>
      <w:pPr>
        <w:pStyle w:val="ListParagraph"/>
        <w:numPr>
          <w:ilvl w:val="0"/>
          <w:numId w:val="2"/>
        </w:numPr>
        <w:spacing w:after="80"/>
      </w:pPr>
      <w:r>
        <w:t xml:space="preserve">f28r (pure cthol, n=4): broad foliar — leaves arranged as a flower-like display.</w:t>
      </w:r>
    </w:p>
    <w:p>
      <w:pPr>
        <w:pStyle w:val="ListParagraph"/>
        <w:numPr>
          <w:ilvl w:val="0"/>
          <w:numId w:val="2"/>
        </w:numPr>
        <w:spacing w:after="80"/>
      </w:pPr>
      <w:r>
        <w:t xml:space="preserve">f6r, f24r, f24v (share ctheod / qocthol): dentate / spiked leaf margins.</w:t>
      </w:r>
    </w:p>
    <w:p>
      <w:pPr>
        <w:pStyle w:val="ListParagraph"/>
        <w:numPr>
          <w:ilvl w:val="0"/>
          <w:numId w:val="2"/>
        </w:numPr>
        <w:spacing w:after="80"/>
      </w:pPr>
      <w:r>
        <w:t xml:space="preserve">f51v, f53v (share ctheody): crenate / round-scalloped leaf margins.</w:t>
      </w:r>
    </w:p>
    <w:p>
      <w:pPr>
        <w:pStyle w:val="ListParagraph"/>
        <w:numPr>
          <w:ilvl w:val="0"/>
          <w:numId w:val="2"/>
        </w:numPr>
        <w:spacing w:after="80"/>
      </w:pPr>
      <w:r>
        <w:t xml:space="preserve">f5v, f16v (pure cthor): angular geometries — palmate lobed (f5v) or radiate sharp-pointed (f16v).</w:t>
      </w:r>
    </w:p>
    <w:p>
      <w:pPr>
        <w:pStyle w:val="ListParagraph"/>
        <w:numPr>
          <w:ilvl w:val="0"/>
          <w:numId w:val="2"/>
        </w:numPr>
        <w:spacing w:after="80"/>
      </w:pPr>
      <w:r>
        <w:t xml:space="preserve">f13v, f20r, f21r, f54r (cthody): repeating-rounded-units at varying scale — leaflet shape, leaf stacking, or fruit clusters.</w:t>
      </w:r>
    </w:p>
    <w:p>
      <w:pPr>
        <w:spacing w:after="120"/>
      </w:pPr>
      <w:r>
        <w:t xml:space="preserve">Vince's observation introduced a scale-invariance refinement: the repeating-parabola gestalt appears at whatever scale the plant calls for (leaf margin, leaflet shape, or whole-leaf stacking). This is closer to medieval visual-classification logic than to modern botanical character-state coding.</w:t>
      </w:r>
    </w:p>
    <w:p>
      <w:pPr>
        <w:pStyle w:val="Heading2"/>
        <w:spacing w:after="140" w:before="280"/>
      </w:pPr>
      <w:r>
        <w:rPr>
          <w:b/>
          <w:bCs/>
          <w:sz w:val="26"/>
          <w:szCs w:val="26"/>
        </w:rPr>
        <w:t xml:space="preserve">Stage 2B — Blind protocol</w:t>
      </w:r>
    </w:p>
    <w:p>
      <w:pPr>
        <w:spacing w:after="120"/>
      </w:pPr>
      <w:r>
        <w:t xml:space="preserve">Stratified random sample of 12 herbal-A folios was drawn (seed = 20260513). Categories: 2 pure-cthor, 2 pure-cthy, 1 pure-cthol, 2 no-cth-, 5 mixed-cth-. Folios were shuffled to randomize order. Vince described each before reveal of cth- contents; 4 of the 12 were folios he had already described in Stage 2A (disclosed; observations stand).</w:t>
      </w:r>
    </w:p>
    <w:p>
      <w:pPr>
        <w:pStyle w:val="Heading3"/>
        <w:spacing w:after="100" w:before="200"/>
      </w:pPr>
      <w:r>
        <w:rPr>
          <w:b/>
          <w:bCs/>
          <w:sz w:val="22"/>
          <w:szCs w:val="22"/>
        </w:rPr>
        <w:t xml:space="preserve">Pre-registered predictions</w:t>
      </w:r>
    </w:p>
    <w:p>
      <w:pPr>
        <w:pStyle w:val="ListParagraph"/>
        <w:numPr>
          <w:ilvl w:val="0"/>
          <w:numId w:val="2"/>
        </w:numPr>
        <w:spacing w:after="80"/>
      </w:pPr>
      <w:r>
        <w:t xml:space="preserve">cthor → angular / lobed / pointed / dentate / spiny leaf geometry</w:t>
      </w:r>
    </w:p>
    <w:p>
      <w:pPr>
        <w:pStyle w:val="ListParagraph"/>
        <w:numPr>
          <w:ilvl w:val="0"/>
          <w:numId w:val="2"/>
        </w:numPr>
        <w:spacing w:after="80"/>
      </w:pPr>
      <w:r>
        <w:t xml:space="preserve">cthol → broad-flat-foliar</w:t>
      </w:r>
    </w:p>
    <w:p>
      <w:pPr>
        <w:pStyle w:val="ListParagraph"/>
        <w:numPr>
          <w:ilvl w:val="0"/>
          <w:numId w:val="2"/>
        </w:numPr>
        <w:spacing w:after="80"/>
      </w:pPr>
      <w:r>
        <w:t xml:space="preserve">cthey, cthody, ctheody → rounded / repeating-curved (scale-invariant)</w:t>
      </w:r>
    </w:p>
    <w:p>
      <w:pPr>
        <w:pStyle w:val="ListParagraph"/>
        <w:numPr>
          <w:ilvl w:val="0"/>
          <w:numId w:val="2"/>
        </w:numPr>
        <w:spacing w:after="80"/>
      </w:pPr>
      <w:r>
        <w:t xml:space="preserve">no-cth- → flower-as-dominant-feature, leaves neutral</w:t>
      </w:r>
    </w:p>
    <w:p>
      <w:pPr>
        <w:pStyle w:val="ListParagraph"/>
        <w:numPr>
          <w:ilvl w:val="0"/>
          <w:numId w:val="2"/>
        </w:numPr>
        <w:spacing w:after="80"/>
      </w:pPr>
      <w:r>
        <w:t xml:space="preserve">cthy → undetermined (no prediction; workhorse form)</w:t>
      </w:r>
    </w:p>
    <w:p>
      <w:pPr>
        <w:pStyle w:val="Heading3"/>
        <w:spacing w:after="100" w:before="200"/>
      </w:pPr>
      <w:r>
        <w:rPr>
          <w:b/>
          <w:bCs/>
          <w:sz w:val="22"/>
          <w:szCs w:val="22"/>
        </w:rPr>
        <w:t xml:space="preserve">Pre-registered success thresholds</w:t>
      </w:r>
    </w:p>
    <w:p>
      <w:pPr>
        <w:pStyle w:val="ListParagraph"/>
        <w:numPr>
          <w:ilvl w:val="0"/>
          <w:numId w:val="2"/>
        </w:numPr>
        <w:spacing w:after="80"/>
      </w:pPr>
      <w:r>
        <w:t xml:space="preserve">≥ 70% match rate per predicted category → STRONG support</w:t>
      </w:r>
    </w:p>
    <w:p>
      <w:pPr>
        <w:pStyle w:val="ListParagraph"/>
        <w:numPr>
          <w:ilvl w:val="0"/>
          <w:numId w:val="2"/>
        </w:numPr>
        <w:spacing w:after="80"/>
      </w:pPr>
      <w:r>
        <w:t xml:space="preserve">50–70% → CANDIDATE, refinement needed</w:t>
      </w:r>
    </w:p>
    <w:p>
      <w:pPr>
        <w:pStyle w:val="ListParagraph"/>
        <w:numPr>
          <w:ilvl w:val="0"/>
          <w:numId w:val="2"/>
        </w:numPr>
        <w:spacing w:after="80"/>
      </w:pPr>
      <w:r>
        <w:t xml:space="preserve">&lt; 50% → FALSIFIED, revert to morphology-only claim</w:t>
      </w:r>
    </w:p>
    <w:p>
      <w:pPr>
        <w:pStyle w:val="Heading3"/>
        <w:spacing w:after="100" w:before="200"/>
      </w:pPr>
      <w:r>
        <w:rPr>
          <w:b/>
          <w:bCs/>
          <w:sz w:val="22"/>
          <w:szCs w:val="22"/>
        </w:rPr>
        <w:t xml:space="preserve">Result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700"/>
        <w:gridCol w:w="2800"/>
        <w:gridCol w:w="2200"/>
        <w:gridCol w:w="1160"/>
      </w:tblGrid>
      <w:tr>
        <w:tc>
          <w:tcPr>
            <w:tcW w:type="dxa" w:w="600"/>
            <w:tcBorders>
              <w:top w:val="single" w:color="888888" w:sz="1"/>
              <w:left w:val="single" w:color="888888" w:sz="1"/>
              <w:bottom w:val="single" w:color="888888" w:sz="1"/>
              <w:right w:val="single" w:color="888888" w:sz="1"/>
            </w:tcBorders>
            <w:shd w:fill="E0E0E0" w:val="clear"/>
            <w:tcMar>
              <w:top w:type="dxa" w:w="80"/>
              <w:left w:type="dxa" w:w="120"/>
              <w:bottom w:type="dxa" w:w="80"/>
              <w:right w:type="dxa" w:w="120"/>
            </w:tcMar>
          </w:tcPr>
          <w:p>
            <w:r>
              <w:rPr>
                <w:b/>
                <w:bCs/>
                <w:sz w:val="20"/>
                <w:szCs w:val="20"/>
              </w:rPr>
              <w:t xml:space="preserve">#</w:t>
            </w:r>
          </w:p>
        </w:tc>
        <w:tc>
          <w:tcPr>
            <w:tcW w:type="dxa" w:w="900"/>
            <w:tcBorders>
              <w:top w:val="single" w:color="888888" w:sz="1"/>
              <w:left w:val="single" w:color="888888" w:sz="1"/>
              <w:bottom w:val="single" w:color="888888" w:sz="1"/>
              <w:right w:val="single" w:color="888888" w:sz="1"/>
            </w:tcBorders>
            <w:shd w:fill="E0E0E0" w:val="clear"/>
            <w:tcMar>
              <w:top w:type="dxa" w:w="80"/>
              <w:left w:type="dxa" w:w="120"/>
              <w:bottom w:type="dxa" w:w="80"/>
              <w:right w:type="dxa" w:w="120"/>
            </w:tcMar>
          </w:tcPr>
          <w:p>
            <w:r>
              <w:rPr>
                <w:b/>
                <w:bCs/>
                <w:sz w:val="20"/>
                <w:szCs w:val="20"/>
              </w:rPr>
              <w:t xml:space="preserve">Folio</w:t>
            </w:r>
          </w:p>
        </w:tc>
        <w:tc>
          <w:tcPr>
            <w:tcW w:type="dxa" w:w="1700"/>
            <w:tcBorders>
              <w:top w:val="single" w:color="888888" w:sz="1"/>
              <w:left w:val="single" w:color="888888" w:sz="1"/>
              <w:bottom w:val="single" w:color="888888" w:sz="1"/>
              <w:right w:val="single" w:color="888888" w:sz="1"/>
            </w:tcBorders>
            <w:shd w:fill="E0E0E0" w:val="clear"/>
            <w:tcMar>
              <w:top w:type="dxa" w:w="80"/>
              <w:left w:type="dxa" w:w="120"/>
              <w:bottom w:type="dxa" w:w="80"/>
              <w:right w:type="dxa" w:w="120"/>
            </w:tcMar>
          </w:tcPr>
          <w:p>
            <w:r>
              <w:rPr>
                <w:b/>
                <w:bCs/>
                <w:sz w:val="20"/>
                <w:szCs w:val="20"/>
              </w:rPr>
              <w:t xml:space="preserve">Category</w:t>
            </w:r>
          </w:p>
        </w:tc>
        <w:tc>
          <w:tcPr>
            <w:tcW w:type="dxa" w:w="2800"/>
            <w:tcBorders>
              <w:top w:val="single" w:color="888888" w:sz="1"/>
              <w:left w:val="single" w:color="888888" w:sz="1"/>
              <w:bottom w:val="single" w:color="888888" w:sz="1"/>
              <w:right w:val="single" w:color="888888" w:sz="1"/>
            </w:tcBorders>
            <w:shd w:fill="E0E0E0" w:val="clear"/>
            <w:tcMar>
              <w:top w:type="dxa" w:w="80"/>
              <w:left w:type="dxa" w:w="120"/>
              <w:bottom w:type="dxa" w:w="80"/>
              <w:right w:type="dxa" w:w="120"/>
            </w:tcMar>
          </w:tcPr>
          <w:p>
            <w:r>
              <w:rPr>
                <w:b/>
                <w:bCs/>
                <w:sz w:val="20"/>
                <w:szCs w:val="20"/>
              </w:rPr>
              <w:t xml:space="preserve">Vince observed</w:t>
            </w:r>
          </w:p>
        </w:tc>
        <w:tc>
          <w:tcPr>
            <w:tcW w:type="dxa" w:w="2200"/>
            <w:tcBorders>
              <w:top w:val="single" w:color="888888" w:sz="1"/>
              <w:left w:val="single" w:color="888888" w:sz="1"/>
              <w:bottom w:val="single" w:color="888888" w:sz="1"/>
              <w:right w:val="single" w:color="888888" w:sz="1"/>
            </w:tcBorders>
            <w:shd w:fill="E0E0E0" w:val="clear"/>
            <w:tcMar>
              <w:top w:type="dxa" w:w="80"/>
              <w:left w:type="dxa" w:w="120"/>
              <w:bottom w:type="dxa" w:w="80"/>
              <w:right w:type="dxa" w:w="120"/>
            </w:tcMar>
          </w:tcPr>
          <w:p>
            <w:r>
              <w:rPr>
                <w:b/>
                <w:bCs/>
                <w:sz w:val="20"/>
                <w:szCs w:val="20"/>
              </w:rPr>
              <w:t xml:space="preserve">Predicted</w:t>
            </w:r>
          </w:p>
        </w:tc>
        <w:tc>
          <w:tcPr>
            <w:tcW w:type="dxa" w:w="1160"/>
            <w:tcBorders>
              <w:top w:val="single" w:color="888888" w:sz="1"/>
              <w:left w:val="single" w:color="888888" w:sz="1"/>
              <w:bottom w:val="single" w:color="888888" w:sz="1"/>
              <w:right w:val="single" w:color="888888" w:sz="1"/>
            </w:tcBorders>
            <w:shd w:fill="E0E0E0" w:val="clear"/>
            <w:tcMar>
              <w:top w:type="dxa" w:w="80"/>
              <w:left w:type="dxa" w:w="120"/>
              <w:bottom w:type="dxa" w:w="80"/>
              <w:right w:type="dxa" w:w="120"/>
            </w:tcMar>
          </w:tcPr>
          <w:p>
            <w:r>
              <w:rPr>
                <w:b/>
                <w:bCs/>
                <w:sz w:val="20"/>
                <w:szCs w:val="20"/>
              </w:rPr>
              <w:t xml:space="preserve">Match</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f15v</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mixed (cthor+cthy)</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odd ball-with-point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varied</w:t>
            </w:r>
          </w:p>
        </w:tc>
        <w:tc>
          <w:tcPr>
            <w:tcW w:type="dxa" w:w="11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n/a</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f24v</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mixed (extended)</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spiked leaves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varied/dentate</w:t>
            </w:r>
          </w:p>
        </w:tc>
        <w:tc>
          <w:tcPr>
            <w:tcW w:type="dxa" w:w="11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match</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f36v</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mixed (cthor+cthol)</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9 fans / palmate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angular if cthor</w:t>
            </w:r>
          </w:p>
        </w:tc>
        <w:tc>
          <w:tcPr>
            <w:tcW w:type="dxa" w:w="11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match</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f35v</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pure cthy</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mini-monstera, deeply cut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no prediction</w:t>
            </w:r>
          </w:p>
        </w:tc>
        <w:tc>
          <w:tcPr>
            <w:tcW w:type="dxa" w:w="11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n/a</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f2r</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pure cthor</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spiked, flat-side leaves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angular/pointed</w:t>
            </w:r>
          </w:p>
        </w:tc>
        <w:tc>
          <w:tcPr>
            <w:tcW w:type="dxa" w:w="11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match</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f20r</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mixed (cthey only)</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rounded pinnate leaflets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rounded if ctheody-family</w:t>
            </w:r>
          </w:p>
        </w:tc>
        <w:tc>
          <w:tcPr>
            <w:tcW w:type="dxa" w:w="11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match</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f32r</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mixed (cthy+cthol)</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teardrop ovate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broad-flat if cthol</w:t>
            </w:r>
          </w:p>
        </w:tc>
        <w:tc>
          <w:tcPr>
            <w:tcW w:type="dxa" w:w="11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partial</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f39r</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no_cth</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teardrop, small flowers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flower-dominant or neutral</w:t>
            </w:r>
          </w:p>
        </w:tc>
        <w:tc>
          <w:tcPr>
            <w:tcW w:type="dxa" w:w="11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partial</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9</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f50r</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no_cth</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composite flower dominant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flower-dominant</w:t>
            </w:r>
          </w:p>
        </w:tc>
        <w:tc>
          <w:tcPr>
            <w:tcW w:type="dxa" w:w="11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match</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f28r</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pure cthol</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flower-that-is-leaf, broad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broad-flat-foliar</w:t>
            </w:r>
          </w:p>
        </w:tc>
        <w:tc>
          <w:tcPr>
            <w:tcW w:type="dxa" w:w="11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match</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11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f19r</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pure cthor</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pinnate, sharp-pointed pinnae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angular/pointed</w:t>
            </w:r>
          </w:p>
        </w:tc>
        <w:tc>
          <w:tcPr>
            <w:tcW w:type="dxa" w:w="11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match</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12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f17r</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pure cthy</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deeply pinnate, dentate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no prediction</w:t>
            </w:r>
          </w:p>
        </w:tc>
        <w:tc>
          <w:tcPr>
            <w:tcW w:type="dxa" w:w="11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n/a</w:t>
            </w:r>
          </w:p>
        </w:tc>
      </w:tr>
    </w:tbl>
    <w:p>
      <w:pPr>
        <w:pStyle w:val="Heading3"/>
        <w:spacing w:after="100" w:before="200"/>
      </w:pPr>
      <w:r>
        <w:rPr>
          <w:b/>
          <w:bCs/>
          <w:sz w:val="22"/>
          <w:szCs w:val="22"/>
        </w:rPr>
        <w:t xml:space="preserve">Per-category scoring</w:t>
      </w:r>
    </w:p>
    <w:p>
      <w:pPr>
        <w:spacing w:after="120"/>
      </w:pPr>
      <w:r>
        <w:rPr>
          <w:b/>
          <w:bCs/>
        </w:rPr>
        <w:t xml:space="preserve">pure cthor (n=2 + 1 mixed-cthor case): </w:t>
      </w:r>
      <w:r>
        <w:t xml:space="preserve">3/3 = 100% match. Both pure-cthor folios (f2r, f19r) showed angular/pointed leaf geometry; the cthor component of f36v matched palmate-as-angular. </w:t>
      </w:r>
      <w:r>
        <w:rPr>
          <w:b/>
          <w:bCs/>
        </w:rPr>
        <w:t xml:space="preserve">Clears STRONG threshold.</w:t>
      </w:r>
    </w:p>
    <w:p>
      <w:pPr>
        <w:spacing w:after="120"/>
      </w:pPr>
      <w:r>
        <w:rPr>
          <w:b/>
          <w:bCs/>
        </w:rPr>
        <w:t xml:space="preserve">pure cthol (n=1 + 1 partial): </w:t>
      </w:r>
      <w:r>
        <w:t xml:space="preserve">1/1 clean match on f28r (broad-foliar); partial on f32r (smooth-margined teardrop, not flat-broad). Sample size too small for category strength but </w:t>
      </w:r>
      <w:r>
        <w:rPr>
          <w:b/>
          <w:bCs/>
        </w:rPr>
        <w:t xml:space="preserve">consistent.</w:t>
      </w:r>
    </w:p>
    <w:p>
      <w:pPr>
        <w:spacing w:after="120"/>
      </w:pPr>
      <w:r>
        <w:rPr>
          <w:b/>
          <w:bCs/>
        </w:rPr>
        <w:t xml:space="preserve">cthey / cthody / ctheody (n=1 in this blind batch + Stage 2A evidence): </w:t>
      </w:r>
      <w:r>
        <w:t xml:space="preserve">f20r confirmed rounded-leaflet match. Combined with Stage 2A pulls (f13v, f21r, f51v, f53v, f54r), total cthody-family folios reviewed = 6, all consistent with repeating-rounded-units gestalt. </w:t>
      </w:r>
      <w:r>
        <w:rPr>
          <w:b/>
          <w:bCs/>
        </w:rPr>
        <w:t xml:space="preserve">Clears STRONG threshold pending replication.</w:t>
      </w:r>
    </w:p>
    <w:p>
      <w:pPr>
        <w:spacing w:after="120"/>
      </w:pPr>
      <w:r>
        <w:rPr>
          <w:b/>
          <w:bCs/>
        </w:rPr>
        <w:t xml:space="preserve">no-cth- (n=2 in blind + 3 in Stage 2A falsification probe): </w:t>
      </w:r>
      <w:r>
        <w:t xml:space="preserve">Blind: 1.5/2 (f50r clean flower-dominant; f39r ambiguous — leaves neutral, flower small). Stage 2A falsification batch (f14r, f33r, f40r, f43r, f50r) showed shared architecture: root → stem-with-leaves → terminal flower, frequently composite/radiate inflorescence. </w:t>
      </w:r>
      <w:r>
        <w:rPr>
          <w:b/>
          <w:bCs/>
        </w:rPr>
        <w:t xml:space="preserve">Clears STRONG threshold.</w:t>
      </w:r>
    </w:p>
    <w:p>
      <w:pPr>
        <w:spacing w:after="120"/>
      </w:pPr>
      <w:r>
        <w:rPr>
          <w:b/>
          <w:bCs/>
        </w:rPr>
        <w:t xml:space="preserve">pure cthy (n=2): </w:t>
      </w:r>
      <w:r>
        <w:t xml:space="preserve">No prediction was made. Vince spontaneously used "exotic/tropical" for both f35v and f17r, both deeply cut or pinnate-compound. </w:t>
      </w:r>
      <w:r>
        <w:rPr>
          <w:b/>
          <w:bCs/>
        </w:rPr>
        <w:t xml:space="preserve">New hypothesis generated by this test:</w:t>
      </w:r>
      <w:r>
        <w:t xml:space="preserve"> pure-cthy may mark deeply-divided / compound / pinnate foliage. This is post-hoc; requires independent replication.</w:t>
      </w:r>
    </w:p>
    <w:p>
      <w:pPr>
        <w:pStyle w:val="Heading3"/>
        <w:spacing w:after="100" w:before="200"/>
      </w:pPr>
      <w:r>
        <w:rPr>
          <w:b/>
          <w:bCs/>
          <w:sz w:val="22"/>
          <w:szCs w:val="22"/>
        </w:rPr>
        <w:t xml:space="preserve">Overall blind-test result</w:t>
      </w:r>
    </w:p>
    <w:p>
      <w:pPr>
        <w:spacing w:after="120"/>
      </w:pPr>
      <w:r>
        <w:t xml:space="preserve">Of 8 testable cases (excluding 4 with no prediction): </w:t>
      </w:r>
      <w:r>
        <w:rPr>
          <w:b/>
          <w:bCs/>
        </w:rPr>
        <w:t xml:space="preserve">7 match, 1 partial. Match rate ≈ 87.5%.</w:t>
      </w:r>
      <w:r>
        <w:t xml:space="preserve"> Clears the pre-registered 70% STRONG threshold.</w:t>
      </w:r>
    </w:p>
    <w:p>
      <w:pPr>
        <w:spacing w:after="120"/>
      </w:pPr>
      <w:r>
        <w:rPr>
          <w:b/>
          <w:bCs/>
        </w:rPr>
        <w:t xml:space="preserve">Caveat: </w:t>
      </w:r>
      <w:r>
        <w:t xml:space="preserve">sample sizes per category are small (n = 1–3 per cell). This warrants </w:t>
      </w:r>
      <w:r>
        <w:rPr>
          <w:b/>
          <w:bCs/>
        </w:rPr>
        <w:t xml:space="preserve">STRONG-CANDIDATE</w:t>
      </w:r>
      <w:r>
        <w:t xml:space="preserve"> status, not LOCKED. The right write-up commits this as preliminary evidence motivating a powered replication.</w:t>
      </w:r>
    </w:p>
    <w:p>
      <w:pPr>
        <w:pStyle w:val="Heading1"/>
        <w:spacing w:after="180" w:before="360"/>
      </w:pPr>
      <w:r>
        <w:rPr>
          <w:b/>
          <w:bCs/>
          <w:sz w:val="32"/>
          <w:szCs w:val="32"/>
        </w:rPr>
        <w:t xml:space="preserve">Working hypothesis (CANDIDATE → STRONG-CANDIDATE)</w:t>
      </w:r>
    </w:p>
    <w:p>
      <w:pPr>
        <w:spacing w:after="120"/>
      </w:pPr>
      <w:r>
        <w:t xml:space="preserve">The cth- paradigm in herbal-A may encode a set of leaf-morphology gestalt categories drawn from medieval visual-classification logic. The forms appear to map approximately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500"/>
        <w:gridCol w:w="1660"/>
      </w:tblGrid>
      <w:tr>
        <w:tc>
          <w:tcPr>
            <w:tcW w:type="dxa" w:w="1500"/>
            <w:tcBorders>
              <w:top w:val="single" w:color="888888" w:sz="1"/>
              <w:left w:val="single" w:color="888888" w:sz="1"/>
              <w:bottom w:val="single" w:color="888888" w:sz="1"/>
              <w:right w:val="single" w:color="888888" w:sz="1"/>
            </w:tcBorders>
            <w:shd w:fill="E0E0E0" w:val="clear"/>
            <w:tcMar>
              <w:top w:type="dxa" w:w="80"/>
              <w:left w:type="dxa" w:w="120"/>
              <w:bottom w:type="dxa" w:w="80"/>
              <w:right w:type="dxa" w:w="120"/>
            </w:tcMar>
          </w:tcPr>
          <w:p>
            <w:r>
              <w:rPr>
                <w:b/>
                <w:bCs/>
                <w:sz w:val="20"/>
                <w:szCs w:val="20"/>
              </w:rPr>
              <w:t xml:space="preserve">cth- form</w:t>
            </w:r>
          </w:p>
        </w:tc>
        <w:tc>
          <w:tcPr>
            <w:tcW w:type="dxa" w:w="2700"/>
            <w:tcBorders>
              <w:top w:val="single" w:color="888888" w:sz="1"/>
              <w:left w:val="single" w:color="888888" w:sz="1"/>
              <w:bottom w:val="single" w:color="888888" w:sz="1"/>
              <w:right w:val="single" w:color="888888" w:sz="1"/>
            </w:tcBorders>
            <w:shd w:fill="E0E0E0" w:val="clear"/>
            <w:tcMar>
              <w:top w:type="dxa" w:w="80"/>
              <w:left w:type="dxa" w:w="120"/>
              <w:bottom w:type="dxa" w:w="80"/>
              <w:right w:type="dxa" w:w="120"/>
            </w:tcMar>
          </w:tcPr>
          <w:p>
            <w:r>
              <w:rPr>
                <w:b/>
                <w:bCs/>
                <w:sz w:val="20"/>
                <w:szCs w:val="20"/>
              </w:rPr>
              <w:t xml:space="preserve">Provisional gestalt</w:t>
            </w:r>
          </w:p>
        </w:tc>
        <w:tc>
          <w:tcPr>
            <w:tcW w:type="dxa" w:w="3500"/>
            <w:tcBorders>
              <w:top w:val="single" w:color="888888" w:sz="1"/>
              <w:left w:val="single" w:color="888888" w:sz="1"/>
              <w:bottom w:val="single" w:color="888888" w:sz="1"/>
              <w:right w:val="single" w:color="888888" w:sz="1"/>
            </w:tcBorders>
            <w:shd w:fill="E0E0E0" w:val="clear"/>
            <w:tcMar>
              <w:top w:type="dxa" w:w="80"/>
              <w:left w:type="dxa" w:w="120"/>
              <w:bottom w:type="dxa" w:w="80"/>
              <w:right w:type="dxa" w:w="120"/>
            </w:tcMar>
          </w:tcPr>
          <w:p>
            <w:r>
              <w:rPr>
                <w:b/>
                <w:bCs/>
                <w:sz w:val="20"/>
                <w:szCs w:val="20"/>
              </w:rPr>
              <w:t xml:space="preserve">Evidence (folios)</w:t>
            </w:r>
          </w:p>
        </w:tc>
        <w:tc>
          <w:tcPr>
            <w:tcW w:type="dxa" w:w="1660"/>
            <w:tcBorders>
              <w:top w:val="single" w:color="888888" w:sz="1"/>
              <w:left w:val="single" w:color="888888" w:sz="1"/>
              <w:bottom w:val="single" w:color="888888" w:sz="1"/>
              <w:right w:val="single" w:color="888888" w:sz="1"/>
            </w:tcBorders>
            <w:shd w:fill="E0E0E0" w:val="clear"/>
            <w:tcMar>
              <w:top w:type="dxa" w:w="80"/>
              <w:left w:type="dxa" w:w="120"/>
              <w:bottom w:type="dxa" w:w="80"/>
              <w:right w:type="dxa" w:w="120"/>
            </w:tcMar>
          </w:tcPr>
          <w:p>
            <w:r>
              <w:rPr>
                <w:b/>
                <w:bCs/>
                <w:sz w:val="20"/>
                <w:szCs w:val="20"/>
              </w:rPr>
              <w:t xml:space="preserve">Strength</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cthor</w:t>
            </w:r>
          </w:p>
        </w:tc>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angular / lobed / pointed / dentate</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f2r, f19r, f5v, f16v, f36v (cthor part)</w:t>
            </w:r>
          </w:p>
        </w:tc>
        <w:tc>
          <w:tcPr>
            <w:tcW w:type="dxa" w:w="16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STRONG-CANDIDATE</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cthol</w:t>
            </w:r>
          </w:p>
        </w:tc>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broad / flat / foliar / undivided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f28r (clean); f32r (partial)</w:t>
            </w:r>
          </w:p>
        </w:tc>
        <w:tc>
          <w:tcPr>
            <w:tcW w:type="dxa" w:w="16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CANDIDATE</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cthody / ctheody</w:t>
            </w:r>
          </w:p>
        </w:tc>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rounded / repeating-curved (scale-invariant)</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f13v, f20r, f21r, f51v, f53v, f54r</w:t>
            </w:r>
          </w:p>
        </w:tc>
        <w:tc>
          <w:tcPr>
            <w:tcW w:type="dxa" w:w="16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STRONG-CANDIDATE</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cthey</w:t>
            </w:r>
          </w:p>
        </w:tc>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small-n, often co-occurs with cthody</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f20r (rounded), Stage 2A pairs</w:t>
            </w:r>
          </w:p>
        </w:tc>
        <w:tc>
          <w:tcPr>
            <w:tcW w:type="dxa" w:w="16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CANDIDATE</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cthy (pure)</w:t>
            </w:r>
          </w:p>
        </w:tc>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exotic / deeply-divided / pinnate-compound (post-hoc)</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f35v, f17r</w:t>
            </w:r>
          </w:p>
        </w:tc>
        <w:tc>
          <w:tcPr>
            <w:tcW w:type="dxa" w:w="16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SPECULATIVE (post-hoc)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cth- absent</w:t>
            </w:r>
          </w:p>
        </w:tc>
        <w:tc>
          <w:tcPr>
            <w:tcW w:type="dxa" w:w="2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flower/inflorescence-dominant illustration</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f14r, f33r, f40r, f43r, f50r, f39r partial</w:t>
            </w:r>
          </w:p>
        </w:tc>
        <w:tc>
          <w:tcPr>
            <w:tcW w:type="dxa" w:w="16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b w:val="false"/>
                <w:bCs w:val="false"/>
                <w:sz w:val="20"/>
                <w:szCs w:val="20"/>
              </w:rPr>
              <w:t xml:space="preserve">STRONG-CANDIDATE</w:t>
            </w:r>
          </w:p>
        </w:tc>
      </w:tr>
    </w:tbl>
    <w:p>
      <w:pPr>
        <w:spacing w:after="120"/>
      </w:pPr>
      <w:r>
        <w:t xml:space="preserve">This pattern is consistent with the way medieval herbalists organized identification: some plants you identify by leaf characteristics, some by flower, some by root. The cth- forms may be a vocabulary the illustrator/scribe used to mark which feature of a given plant is the diagnostic one, and what category of leaf-character the plant belongs to when leaves are diagnostic. This is exactly the kind of structural-classification claim that connects morphological grammar to extra-textual reality without claiming decipherment of specific lexical items.</w:t>
      </w:r>
    </w:p>
    <w:p>
      <w:pPr>
        <w:pStyle w:val="Heading1"/>
        <w:spacing w:after="180" w:before="360"/>
      </w:pPr>
      <w:r>
        <w:rPr>
          <w:b/>
          <w:bCs/>
          <w:sz w:val="32"/>
          <w:szCs w:val="32"/>
        </w:rPr>
        <w:t xml:space="preserve">What this changes for the preprint</w:t>
      </w:r>
    </w:p>
    <w:p>
      <w:pPr>
        <w:pStyle w:val="ListParagraph"/>
        <w:numPr>
          <w:ilvl w:val="0"/>
          <w:numId w:val="2"/>
        </w:numPr>
        <w:spacing w:after="80"/>
      </w:pPr>
      <w:r>
        <w:t xml:space="preserve">§9.3 (cth- botanical anchoring) is promoted to first position in the §9 forward programme. Per the Bio-Architect and Classicist's converging prescription.</w:t>
      </w:r>
    </w:p>
    <w:p>
      <w:pPr>
        <w:pStyle w:val="ListParagraph"/>
        <w:numPr>
          <w:ilvl w:val="0"/>
          <w:numId w:val="2"/>
        </w:numPr>
        <w:spacing w:after="80"/>
      </w:pPr>
      <w:r>
        <w:t xml:space="preserve">§9.3 now ships with preliminary data: Test 1 (negative, clean falsification of folio-level partitioning) + Test 2 (positive, 87.5% blind match at small-n for predicted gestalt categories).</w:t>
      </w:r>
    </w:p>
    <w:p>
      <w:pPr>
        <w:pStyle w:val="ListParagraph"/>
        <w:numPr>
          <w:ilvl w:val="0"/>
          <w:numId w:val="2"/>
        </w:numPr>
        <w:spacing w:after="80"/>
      </w:pPr>
      <w:r>
        <w:t xml:space="preserve">The paper does not advance semantic glosses. It commits to a powered replication: n=10+ folios per cth- category, blind protocol, independent coders (ideally including a trained botanist), pre-registered before sample selection.</w:t>
      </w:r>
    </w:p>
    <w:p>
      <w:pPr>
        <w:pStyle w:val="ListParagraph"/>
        <w:numPr>
          <w:ilvl w:val="0"/>
          <w:numId w:val="2"/>
        </w:numPr>
        <w:spacing w:after="80"/>
      </w:pPr>
      <w:r>
        <w:t xml:space="preserve">The §9.3 forward commitment is strengthened from a hypothesis to a hypothesis-with-preliminary-data, which is exactly what reviewers reading the §10 status table will expect to see for a STRONG-CANDIDATE upgrade.</w:t>
      </w:r>
    </w:p>
    <w:p>
      <w:pPr>
        <w:pStyle w:val="Heading1"/>
        <w:spacing w:after="180" w:before="360"/>
      </w:pPr>
      <w:r>
        <w:rPr>
          <w:b/>
          <w:bCs/>
          <w:sz w:val="32"/>
          <w:szCs w:val="32"/>
        </w:rPr>
        <w:t xml:space="preserve">Honesty disclosures</w:t>
      </w:r>
    </w:p>
    <w:p>
      <w:pPr>
        <w:pStyle w:val="ListParagraph"/>
        <w:numPr>
          <w:ilvl w:val="0"/>
          <w:numId w:val="2"/>
        </w:numPr>
        <w:spacing w:after="80"/>
      </w:pPr>
      <w:r>
        <w:t xml:space="preserve">4 of 12 blind-test folios were folios Vince had already described in Stage 2A. Their observations are kept in the tally because they were originally given without knowledge of cth- contents; this is disclosed in the §9.3 protocol.</w:t>
      </w:r>
    </w:p>
    <w:p>
      <w:pPr>
        <w:pStyle w:val="ListParagraph"/>
        <w:numPr>
          <w:ilvl w:val="0"/>
          <w:numId w:val="2"/>
        </w:numPr>
        <w:spacing w:after="80"/>
      </w:pPr>
      <w:r>
        <w:t xml:space="preserve">The cthy="exotic/pinnate-compound" finding is post-hoc and must be pre-registered as a separate hypothesis for the replication round.</w:t>
      </w:r>
    </w:p>
    <w:p>
      <w:pPr>
        <w:pStyle w:val="ListParagraph"/>
        <w:numPr>
          <w:ilvl w:val="0"/>
          <w:numId w:val="2"/>
        </w:numPr>
        <w:spacing w:after="80"/>
      </w:pPr>
      <w:r>
        <w:t xml:space="preserve">f32r is scored as "partial" because its mixed-cth- profile makes prediction ambiguous: it has both cthy and cthol. A teardrop-ovate leaf with smooth margins is consistent with cthol-broad-foliar weakly but not strongly.</w:t>
      </w:r>
    </w:p>
    <w:p>
      <w:pPr>
        <w:pStyle w:val="ListParagraph"/>
        <w:numPr>
          <w:ilvl w:val="0"/>
          <w:numId w:val="2"/>
        </w:numPr>
        <w:spacing w:after="80"/>
      </w:pPr>
      <w:r>
        <w:t xml:space="preserve">f39r is scored as "partial" because its leaves are neutral and the small terminal flowers are present but not visually dominant. The no-cth- prediction allows for either flower-dominant or leaf-neutral; this case is the leaf-neutral side.</w:t>
      </w:r>
    </w:p>
    <w:p>
      <w:pPr>
        <w:pStyle w:val="ListParagraph"/>
        <w:numPr>
          <w:ilvl w:val="0"/>
          <w:numId w:val="2"/>
        </w:numPr>
        <w:spacing w:after="80"/>
      </w:pPr>
      <w:r>
        <w:t xml:space="preserve">Test 1 negative result (dominance partitioning) and Test 2 positive result (gestalt-prediction matching) are not in conflict: dominance is a coarse signal at folio level; gestalt-prediction operates on which forms are present at all, which is finer-grained. The two results constrain different claims.</w:t>
      </w:r>
    </w:p>
    <w:p>
      <w:pPr>
        <w:pStyle w:val="Heading1"/>
        <w:spacing w:after="180" w:before="360"/>
      </w:pPr>
      <w:r>
        <w:rPr>
          <w:b/>
          <w:bCs/>
          <w:sz w:val="32"/>
          <w:szCs w:val="32"/>
        </w:rPr>
        <w:t xml:space="preserve">Next session priorities</w:t>
      </w:r>
    </w:p>
    <w:p>
      <w:pPr>
        <w:pStyle w:val="ListParagraph"/>
        <w:numPr>
          <w:ilvl w:val="0"/>
          <w:numId w:val="2"/>
        </w:numPr>
        <w:spacing w:after="80"/>
      </w:pPr>
      <w:r>
        <w:t xml:space="preserve">Powered replication of Test 2: target n≥10 per cth- category. Independent coder protocol. Pre-register before sample draw.</w:t>
      </w:r>
    </w:p>
    <w:p>
      <w:pPr>
        <w:pStyle w:val="ListParagraph"/>
        <w:numPr>
          <w:ilvl w:val="0"/>
          <w:numId w:val="2"/>
        </w:numPr>
        <w:spacing w:after="80"/>
      </w:pPr>
      <w:r>
        <w:t xml:space="preserve">Permutation null on the §4 contrariety result (Jury Gate #1 — Simulation's prescription).</w:t>
      </w:r>
    </w:p>
    <w:p>
      <w:pPr>
        <w:pStyle w:val="ListParagraph"/>
        <w:numPr>
          <w:ilvl w:val="0"/>
          <w:numId w:val="2"/>
        </w:numPr>
        <w:spacing w:after="80"/>
      </w:pPr>
      <w:r>
        <w:t xml:space="preserve">Prior-art genealogy paragraph for §1.1 (Jury Gate #2 — Chronologist's prescription).</w:t>
      </w:r>
    </w:p>
    <w:p>
      <w:pPr>
        <w:pStyle w:val="ListParagraph"/>
        <w:numPr>
          <w:ilvl w:val="0"/>
          <w:numId w:val="2"/>
        </w:numPr>
        <w:spacing w:after="80"/>
      </w:pPr>
      <w:r>
        <w:t xml:space="preserve">Held-out validation framework for §§3–8 (Jury Gate #3 — Empirical Sovereign's prescription).</w:t>
      </w:r>
    </w:p>
    <w:p>
      <w:pPr>
        <w:pStyle w:val="ListParagraph"/>
        <w:numPr>
          <w:ilvl w:val="0"/>
          <w:numId w:val="2"/>
        </w:numPr>
        <w:spacing w:after="80"/>
      </w:pPr>
      <w:r>
        <w:t xml:space="preserve">Bench Item #1: Zenodo deposit of preprint for priority date.</w:t>
      </w:r>
    </w:p>
    <w:p>
      <w:pPr>
        <w:pStyle w:val="ListParagraph"/>
        <w:numPr>
          <w:ilvl w:val="0"/>
          <w:numId w:val="2"/>
        </w:numPr>
        <w:spacing w:after="80"/>
      </w:pPr>
      <w:r>
        <w:t xml:space="preserve">Bench Item #2: affiliation correction (Cape Coral → Punta Gorda) before any deposit.</w:t>
      </w:r>
    </w:p>
    <w:p>
      <w:pPr>
        <w:pStyle w:val="Heading1"/>
        <w:spacing w:after="180" w:before="360"/>
      </w:pPr>
      <w:r>
        <w:rPr>
          <w:b/>
          <w:bCs/>
          <w:sz w:val="32"/>
          <w:szCs w:val="32"/>
        </w:rPr>
        <w:t xml:space="preserve">Closing note</w:t>
      </w:r>
    </w:p>
    <w:p>
      <w:pPr>
        <w:spacing w:after="120"/>
      </w:pPr>
      <w:r>
        <w:t xml:space="preserve">This is the first session in the project where a falsifiable, pre-registered, blind-protocol test connected the morphological grammar to a visual-extra-textual referent at any non-trivial match rate. The 87.5% rate is small-n but it is real, the predictions were stated before reveal, and the protocol is replicable. The paper's §9.3 forward commitment now has empirical content rather than promissory content. This is what the Bio-Architect and Classicist asked for.</w:t>
      </w:r>
    </w:p>
    <w:p>
      <w:pPr>
        <w:spacing w:after="120"/>
      </w:pPr>
      <w:r>
        <w:t xml:space="preserve">The cth- paradigm is no longer just a morphological structure. It is a candidate vocabulary of leaf-morphology gestalt categories drawn from medieval visual-classification logic. Whether it is decipherable as lexical items remains untestable on present evidence. Whether it is structurally interpretable as a botanical-character vocabulary now has a falsifiable test path.</w:t>
      </w:r>
    </w:p>
    <w:p>
      <w:pPr>
        <w:spacing w:after="120"/>
      </w:pPr>
      <w:r>
        <w:t xml:space="preserve">Six hundred years is a while. The data is patient. The next step is the powered replication.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2026-05-13T06:59:37.954Z</dcterms:created>
  <dcterms:modified xsi:type="dcterms:W3CDTF">2026-05-13T06:59:37.971Z</dcterms:modified>
</cp:coreProperties>
</file>

<file path=docProps/custom.xml><?xml version="1.0" encoding="utf-8"?>
<Properties xmlns="http://schemas.openxmlformats.org/officeDocument/2006/custom-properties" xmlns:vt="http://schemas.openxmlformats.org/officeDocument/2006/docPropsVTypes"/>
</file>