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A2E4A"/>
          <w:sz w:val="36"/>
          <w:szCs w:val="36"/>
        </w:rPr>
        <w:t xml:space="preserve">THE VOYNICH MANUSCRIPT AS AVICENNA'S CANON</w:t>
      </w:r>
    </w:p>
    <w:p>
      <w:pPr>
        <w:spacing w:after="80"/>
        <w:jc w:val="center"/>
      </w:pPr>
      <w:r>
        <w:rPr>
          <w:rFonts w:ascii="Arial" w:cs="Arial" w:eastAsia="Arial" w:hAnsi="Arial"/>
          <w:i/>
          <w:iCs/>
          <w:sz w:val="26"/>
          <w:szCs w:val="26"/>
        </w:rPr>
        <w:t xml:space="preserve">A Pharmaceutical Reference System in Constructed Semitic-Romance Medical Language</w:t>
      </w:r>
    </w:p>
    <w:p>
      <w:pPr>
        <w:pBdr>
          <w:bottom w:val="single" w:color="2E4A7A" w:sz="6" w:space="1"/>
        </w:pBdr>
        <w:spacing w:after="80"/>
        <w:jc w:val="center"/>
      </w:pPr>
      <w:r>
        <w:rPr>
          <w:sz w:val="24"/>
          <w:szCs w:val="24"/>
        </w:rPr>
        <w:t xml:space="preserve"> </w:t>
      </w:r>
    </w:p>
    <w:p>
      <w:pPr>
        <w:spacing w:after="80"/>
      </w:pPr>
      <w:r>
        <w:rPr>
          <w:sz w:val="24"/>
          <w:szCs w:val="24"/>
        </w:rPr>
        <w:t xml:space="preserve"/>
      </w:r>
    </w:p>
    <w:p>
      <w:pPr>
        <w:spacing w:after="60"/>
        <w:jc w:val="center"/>
      </w:pPr>
      <w:r>
        <w:rPr>
          <w:b/>
          <w:bCs/>
          <w:sz w:val="26"/>
          <w:szCs w:val="26"/>
        </w:rPr>
        <w:t xml:space="preserve">Vince Gonzalez</w:t>
      </w:r>
    </w:p>
    <w:p>
      <w:pPr>
        <w:spacing w:after="60"/>
        <w:jc w:val="center"/>
      </w:pPr>
      <w:r>
        <w:rPr>
          <w:i/>
          <w:iCs/>
          <w:sz w:val="22"/>
          <w:szCs w:val="22"/>
        </w:rPr>
        <w:t xml:space="preserve">Epistemend Research, Punta Gorda, Florida</w:t>
      </w:r>
    </w:p>
    <w:p>
      <w:pPr>
        <w:spacing w:after="60"/>
        <w:jc w:val="center"/>
      </w:pPr>
      <w:r>
        <w:rPr>
          <w:color w:val="888888"/>
          <w:sz w:val="22"/>
          <w:szCs w:val="22"/>
        </w:rPr>
        <w:t xml:space="preserve">ORCID: 0009-0005-3640-014X</w:t>
      </w:r>
    </w:p>
    <w:p>
      <w:pPr>
        <w:spacing w:after="240"/>
        <w:jc w:val="center"/>
      </w:pPr>
      <w:r>
        <w:rPr>
          <w:color w:val="888888"/>
          <w:sz w:val="22"/>
          <w:szCs w:val="22"/>
        </w:rPr>
        <w:t xml:space="preserve">May 2026</w:t>
      </w:r>
    </w:p>
    <w:p>
      <w:pPr>
        <w:spacing w:after="60"/>
      </w:pPr>
      <w:r>
        <w:rPr>
          <w:color w:val="888888"/>
          <w:sz w:val="18"/>
          <w:szCs w:val="18"/>
        </w:rPr>
        <w:t xml:space="preserve">DOCUMENT: Voynich Manuscript Decipherment Hypothesis  |  MODE: US  |  TARGET: Studies in History and Philosophy of Science  |  VERSION: 3.0</w:t>
      </w:r>
    </w:p>
    <w:p>
      <w:pPr>
        <w:pBdr>
          <w:bottom w:val="single" w:color="CCCCCC" w:sz="2" w:space="1"/>
        </w:pBdr>
        <w:spacing w:after="240"/>
      </w:pPr>
      <w:r>
        <w:rPr>
          <w:sz w:val="18"/>
          <w:szCs w:val="18"/>
        </w:rPr>
        <w:t xml:space="preserve"> </w:t>
      </w:r>
    </w:p>
    <w:p>
      <w:pPr>
        <w:pStyle w:val="Heading1"/>
      </w:pPr>
      <w:r>
        <w:rPr>
          <w:b/>
          <w:bCs/>
        </w:rPr>
        <w:t xml:space="preserve">ABSTRACT</w:t>
      </w:r>
    </w:p>
    <w:p>
      <w:pPr>
        <w:spacing w:after="160"/>
        <w:ind w:left="720" w:right="720"/>
      </w:pPr>
      <w:r>
        <w:rPr>
          <w:sz w:val="24"/>
          <w:szCs w:val="24"/>
        </w:rPr>
        <w:t xml:space="preserve">The Voynich Manuscript (Beinecke MS 408) is not a cipher, a hoax, or a decorative curiosity. It is a complete medieval pharmaceutical reference system encoding Avicenna's </w:t>
      </w:r>
    </w:p>
    <w:p>
      <w:pPr>
        <w:spacing w:after="160"/>
        <w:ind w:left="720" w:right="720"/>
      </w:pPr>
      <w:r>
        <w:rPr>
          <w:i/>
          <w:iCs/>
          <w:sz w:val="24"/>
          <w:szCs w:val="24"/>
        </w:rPr>
        <w:t xml:space="preserve">Canon of Medicine</w:t>
      </w:r>
      <w:r>
        <w:rPr>
          <w:sz w:val="24"/>
          <w:szCs w:val="24"/>
        </w:rPr>
        <w:t xml:space="preserve"> in a constructed precision language built on Semitic root-and-pattern morphological principles and Romance phonology, produced within the 12th-14th century Occitan-Jewish scholarly tradition. Six hundred years of silence. The first word was a color.</w:t>
      </w:r>
    </w:p>
    <w:p>
      <w:pPr>
        <w:spacing w:after="160"/>
        <w:ind w:left="720" w:right="720"/>
      </w:pPr>
      <w:r>
        <w:rPr>
          <w:sz w:val="24"/>
          <w:szCs w:val="24"/>
        </w:rPr>
        <w:t xml:space="preserve">Through spatial color correlation analysis of the Zandbergen-Landini EVA transcription (ZL3b-n, v3b, May 2025) — 37,595 word tokens across 7,732 unique word types — I identify a systematic pharmaceutical vocabulary locked to illustration color zones across statistically independent folio sets. The ot- prefix marks the pharmaceutical medicated state; the -od morpheme marks rounded seed and pod structures; the -ar morpheme marks operative preparative actions; folio-correlated quality morpheme families (cr-, ott-, goll-, 8-) encode elemental qualities directly to painted illustration zones. The manuscript's three-folio pharmaceutical workflow mirrors Avicenna's Book V formulary structure exactly. This framework establishes the manuscript as a practicing physician's organized medical reference.</w:t>
      </w:r>
    </w:p>
    <w:p>
      <w:pPr>
        <w:spacing w:after="80"/>
      </w:pPr>
      <w:r>
        <w:rPr>
          <w:sz w:val="24"/>
          <w:szCs w:val="24"/>
        </w:rPr>
        <w:t xml:space="preserve"/>
      </w:r>
    </w:p>
    <w:p>
      <w:pPr>
        <w:spacing w:after="160"/>
      </w:pPr>
      <w:r>
        <w:rPr>
          <w:b/>
          <w:bCs/>
          <w:sz w:val="24"/>
          <w:szCs w:val="24"/>
        </w:rPr>
        <w:t xml:space="preserve">Keywords:</w:t>
      </w:r>
      <w:r>
        <w:rPr>
          <w:sz w:val="24"/>
          <w:szCs w:val="24"/>
        </w:rPr>
        <w:t xml:space="preserve"> Voynich Manuscript; Avicenna; Ibn Tibbon; medieval pharmacy; Semitic root-and-pattern morphology; Occitan-Jewish translation; pharmaceutical prefix system</w:t>
      </w:r>
    </w:p>
    <w:p>
      <w:pPr>
        <w:spacing w:after="80"/>
      </w:pPr>
      <w:r>
        <w:rPr>
          <w:sz w:val="24"/>
          <w:szCs w:val="24"/>
        </w:rPr>
        <w:t xml:space="preserve"/>
      </w:r>
    </w:p>
    <w:p>
      <w:pPr>
        <w:pBdr>
          <w:bottom w:val="single" w:color="CCCCCC" w:sz="2" w:space="1"/>
        </w:pBdr>
        <w:spacing w:after="240"/>
      </w:pPr>
      <w:r>
        <w:rPr>
          <w:sz w:val="18"/>
          <w:szCs w:val="18"/>
        </w:rPr>
        <w:t xml:space="preserve"> </w:t>
      </w:r>
    </w:p>
    <w:p>
      <w:pPr>
        <w:pStyle w:val="Heading1"/>
      </w:pPr>
      <w:r>
        <w:rPr>
          <w:b/>
          <w:bCs/>
        </w:rPr>
        <w:t xml:space="preserve">I. INTRODUCTION</w:t>
      </w:r>
    </w:p>
    <w:p>
      <w:pPr>
        <w:spacing w:after="160"/>
      </w:pPr>
      <w:r>
        <w:rPr>
          <w:sz w:val="24"/>
          <w:szCs w:val="24"/>
        </w:rPr>
        <w:t xml:space="preserve">The Voynich Manuscript encodes Avicenna's </w:t>
      </w:r>
      <w:r>
        <w:rPr>
          <w:i/>
          <w:iCs/>
          <w:sz w:val="24"/>
          <w:szCs w:val="24"/>
        </w:rPr>
        <w:t xml:space="preserve">Canon of Medicine</w:t>
      </w:r>
      <w:r>
        <w:rPr>
          <w:sz w:val="24"/>
          <w:szCs w:val="24"/>
        </w:rPr>
        <w:t xml:space="preserve"> in a constructed precision language built on Semitic root-and-pattern morphological principles, produced within the 12th-14th century Occitan-Jewish translation tradition. This paper demonstrates that claim.</w:t>
      </w:r>
    </w:p>
    <w:p>
      <w:pPr>
        <w:spacing w:after="160"/>
      </w:pPr>
      <w:r>
        <w:rPr>
          <w:sz w:val="24"/>
          <w:szCs w:val="24"/>
        </w:rPr>
        <w:t xml:space="preserve">Previous decipherment approaches treated the manuscript as a cryptographic problem. All failed. The manuscript's statistical properties — low entropy, high internal repetition, Zipfian word distribution — are consistent with natural language rather than encipherment, yet no proposed language origin produced a defensible translation framework. The constructive step this paper takes is a reframing: the manuscript is not encoded. It is written in a constructed precision language whose morphological logic is Semitic, whose medical content is Avicennan, and whose cultural origin is the Occitan-Jewish translation tradition of 12th-14th century southern France and Spain.</w:t>
      </w:r>
    </w:p>
    <w:p>
      <w:pPr>
        <w:spacing w:after="160"/>
      </w:pPr>
      <w:r>
        <w:rPr>
          <w:sz w:val="24"/>
          <w:szCs w:val="24"/>
        </w:rPr>
        <w:t xml:space="preserve">The entry point is not cryptography but visual correlation. The botanical illustrations are elemental indexes. Color encodes the elemental quality of the described medicine — the same four-quality system (hot, cold, wet, dry) that structures Avicenna's medical philosophy throughout the </w:t>
      </w:r>
      <w:r>
        <w:rPr>
          <w:i/>
          <w:iCs/>
          <w:sz w:val="24"/>
          <w:szCs w:val="24"/>
        </w:rPr>
        <w:t xml:space="preserve">Canon</w:t>
      </w:r>
      <w:r>
        <w:rPr>
          <w:sz w:val="24"/>
          <w:szCs w:val="24"/>
        </w:rPr>
        <w:t xml:space="preserve">. Once this is recognized, the text becomes legible as a systematic pharmaceutical notation whose core vocabulary can be identified through spatial correlation with the painted elements it describes.</w:t>
      </w:r>
    </w:p>
    <w:p>
      <w:pPr>
        <w:spacing w:after="160"/>
      </w:pPr>
      <w:r>
        <w:rPr>
          <w:sz w:val="24"/>
          <w:szCs w:val="24"/>
        </w:rPr>
        <w:t xml:space="preserve">A note on prior claims. Gordon Rugg's hoax hypothesis (Rugg, 2004) proposed the manuscript was generated by a mechanical table-lookup system. The Zipfian distribution and low entropy of the text are inconsistent with that generation method, which produces statistical profiles distinct from natural language. Tucker and Janick (2013, 2017) argued for a 16th-century New World origin on botanical identifications — a hypothesis requiring a transmission route without documentary support that does not account for the month labels in Northern Occitan dialect identified in the zodiac section. Cheshire (2019) proposed a proto-Romance language hypothesis; the methodology was rejected by the field on grounds of circular letter-substitution reasoning. The present hypothesis is distinguished from all prior attempts by its pre-theoretical derivation: the operative morpheme -ar was identified through paragraph-position distributional analysis of the EVA corpus before any historical literature was consulted. The ibn Tibbon parallel was discovered afterward. That sequence is documented and matters.</w:t>
      </w:r>
    </w:p>
    <w:p>
      <w:pPr>
        <w:spacing w:after="160"/>
      </w:pPr>
      <w:r>
        <w:rPr>
          <w:sz w:val="24"/>
          <w:szCs w:val="24"/>
        </w:rPr>
        <w:t xml:space="preserve">The contested status of O'Neill's (1944) botanical identifications is noted: subsequent scholarship has disputed several of his plant assignments. No finding in this paper depends on O'Neill's identifications.</w:t>
      </w:r>
    </w:p>
    <w:p>
      <w:pPr>
        <w:pStyle w:val="Heading1"/>
      </w:pPr>
      <w:r>
        <w:rPr>
          <w:b/>
          <w:bCs/>
        </w:rPr>
        <w:t xml:space="preserve">II. HISTORICAL AND CULTURAL FRAMEWORK</w:t>
      </w:r>
    </w:p>
    <w:p>
      <w:pPr>
        <w:pStyle w:val="Heading2"/>
      </w:pPr>
      <w:r>
        <w:rPr>
          <w:b/>
          <w:bCs/>
        </w:rPr>
        <w:t xml:space="preserve">2.1 The Occitan-Jewish Translation Circuit</w:t>
      </w:r>
    </w:p>
    <w:p>
      <w:pPr>
        <w:spacing w:after="160"/>
      </w:pPr>
      <w:r>
        <w:rPr>
          <w:sz w:val="24"/>
          <w:szCs w:val="24"/>
        </w:rPr>
        <w:t xml:space="preserve">The 12th through 14th centuries produced one of the most concentrated episodes of cross-linguistic scientific transmission in recorded history. In the cities of Lunel, Arles, Marseilles, Barcelona, Toledo, and Montpellier, a network of Jewish scholars working simultaneously in Arabic, Hebrew, and Occitan Romance vernaculars translated the Arabic medical and philosophical canon into languages accessible to European physicians. The circuit ran from Arabic originals through Hebrew philosophical vocabulary into Romance vernacular, and the scholars who operated it were not merely translators: they were inventors of technical vocabulary.</w:t>
      </w:r>
    </w:p>
    <w:p>
      <w:pPr>
        <w:spacing w:after="160"/>
      </w:pPr>
      <w:r>
        <w:rPr>
          <w:sz w:val="24"/>
          <w:szCs w:val="24"/>
        </w:rPr>
        <w:t xml:space="preserve">Samuel ibn Tibbon (c. 1150-1230) is the central figure for this paper. In 1199, in Béziers, ibn Tibbon translated Galen's </w:t>
      </w:r>
      <w:r>
        <w:rPr>
          <w:i/>
          <w:iCs/>
          <w:sz w:val="24"/>
          <w:szCs w:val="24"/>
        </w:rPr>
        <w:t xml:space="preserve">Tegni</w:t>
      </w:r>
      <w:r>
        <w:rPr>
          <w:sz w:val="24"/>
          <w:szCs w:val="24"/>
        </w:rPr>
        <w:t xml:space="preserve"> from Arabic into Hebrew, using Ḥunayn Ibn Isḥāq's Arabic version with ʿAlī Ibn Riḍwān's commentary (Freudenthal and Fontaine, 2016). His critical innovation was not translation in the conventional sense. Ibn Tibbon did not merely render Arabic medical terms into Hebrew equivalents. He built Hebrew vocabulary using the same morphological logic as the Arabic originals — rendering the Arabic </w:t>
      </w:r>
      <w:r>
        <w:rPr>
          <w:i/>
          <w:iCs/>
          <w:sz w:val="24"/>
          <w:szCs w:val="24"/>
        </w:rPr>
        <w:t xml:space="preserve">fa'il</w:t>
      </w:r>
      <w:r>
        <w:rPr>
          <w:sz w:val="24"/>
          <w:szCs w:val="24"/>
        </w:rPr>
        <w:t xml:space="preserve"> (operative agent) as the Hebrew </w:t>
      </w:r>
      <w:r>
        <w:rPr>
          <w:i/>
          <w:iCs/>
          <w:sz w:val="24"/>
          <w:szCs w:val="24"/>
        </w:rPr>
        <w:t xml:space="preserve">poael</w:t>
      </w:r>
      <w:r>
        <w:rPr>
          <w:sz w:val="24"/>
          <w:szCs w:val="24"/>
        </w:rPr>
        <w:t xml:space="preserve"> by applying the identical agent-marking vowel-pattern structure to a Hebrew root. The mechanism was not borrowed; the architecture was. This is documented in his </w:t>
      </w:r>
      <w:r>
        <w:rPr>
          <w:i/>
          <w:iCs/>
          <w:sz w:val="24"/>
          <w:szCs w:val="24"/>
        </w:rPr>
        <w:t xml:space="preserve">Perush ha-Millot ha-Zarot</w:t>
      </w:r>
      <w:r>
        <w:rPr>
          <w:sz w:val="24"/>
          <w:szCs w:val="24"/>
        </w:rPr>
        <w:t xml:space="preserve"> (Explanation of Foreign Terms), the technical glossary appended to his translation of Maimonides' </w:t>
      </w:r>
      <w:r>
        <w:rPr>
          <w:i/>
          <w:iCs/>
          <w:sz w:val="24"/>
          <w:szCs w:val="24"/>
        </w:rPr>
        <w:t xml:space="preserve">Guide for the Perplexed</w:t>
      </w:r>
      <w:r>
        <w:rPr>
          <w:sz w:val="24"/>
          <w:szCs w:val="24"/>
        </w:rPr>
        <w:t xml:space="preserve"> (ibn Tibbon, ed. Even-Shemuel, 1987).</w:t>
      </w:r>
    </w:p>
    <w:p>
      <w:pPr>
        <w:spacing w:after="160"/>
      </w:pPr>
      <w:r>
        <w:rPr>
          <w:sz w:val="24"/>
          <w:szCs w:val="24"/>
        </w:rPr>
        <w:t xml:space="preserve">Yehuda Halper's analysis of Hebrew philosophical terminology in the transmission of Averroes' </w:t>
      </w:r>
      <w:r>
        <w:rPr>
          <w:i/>
          <w:iCs/>
          <w:sz w:val="24"/>
          <w:szCs w:val="24"/>
        </w:rPr>
        <w:t xml:space="preserve">Metaphysics</w:t>
      </w:r>
      <w:r>
        <w:rPr>
          <w:sz w:val="24"/>
          <w:szCs w:val="24"/>
        </w:rPr>
        <w:t xml:space="preserve"> demonstrates how ibn Tibbon's coined vocabulary was adopted, revised, or systematically disagreed with by subsequent translators — Zeraḥyah, Qalonimos ben Qalonimos, and Moses b. Solomon — each working within the same morphological convention while adjusting it for their own purposes (Halper, 2001). Qalonimos ben Qalonimos (1286-), whose </w:t>
      </w:r>
      <w:r>
        <w:rPr>
          <w:i/>
          <w:iCs/>
          <w:sz w:val="24"/>
          <w:szCs w:val="24"/>
        </w:rPr>
        <w:t xml:space="preserve">Even Boḥen</w:t>
      </w:r>
      <w:r>
        <w:rPr>
          <w:sz w:val="24"/>
          <w:szCs w:val="24"/>
        </w:rPr>
        <w:t xml:space="preserve"> survives in a Columbia University manuscript (ldpd_16613578), represents the final generation of this translation tradition — working in Arles and Montpellier, fluent in Arabic, Hebrew, and Occitan, engaged in exactly the kind of cross-linguistic technical vocabulary construction that the Voynich constructed precision language embodies.</w:t>
      </w:r>
    </w:p>
    <w:p>
      <w:pPr>
        <w:spacing w:after="160"/>
      </w:pPr>
      <w:r>
        <w:rPr>
          <w:sz w:val="24"/>
          <w:szCs w:val="24"/>
        </w:rPr>
        <w:t xml:space="preserve">The geographic anchor is provided by the manuscript's own month labels. The zodiac section contains month names in Northern Occitan or Catalan dialect: </w:t>
      </w:r>
      <w:r>
        <w:rPr>
          <w:i/>
          <w:iCs/>
          <w:sz w:val="24"/>
          <w:szCs w:val="24"/>
        </w:rPr>
        <w:t xml:space="preserve">octobre, mars</w:t>
      </w:r>
      <w:r>
        <w:rPr>
          <w:sz w:val="24"/>
          <w:szCs w:val="24"/>
        </w:rPr>
        <w:t xml:space="preserve">, and critically </w:t>
      </w:r>
      <w:r>
        <w:rPr>
          <w:i/>
          <w:iCs/>
          <w:sz w:val="24"/>
          <w:szCs w:val="24"/>
        </w:rPr>
        <w:t xml:space="preserve">auge</w:t>
      </w:r>
      <w:r>
        <w:rPr>
          <w:sz w:val="24"/>
          <w:szCs w:val="24"/>
        </w:rPr>
        <w:t xml:space="preserve"> for the August entry. The term </w:t>
      </w:r>
      <w:r>
        <w:rPr>
          <w:i/>
          <w:iCs/>
          <w:sz w:val="24"/>
          <w:szCs w:val="24"/>
        </w:rPr>
        <w:t xml:space="preserve">auge</w:t>
      </w:r>
      <w:r>
        <w:rPr>
          <w:sz w:val="24"/>
          <w:szCs w:val="24"/>
        </w:rPr>
        <w:t xml:space="preserve"> derives from Arabic </w:t>
      </w:r>
      <w:r>
        <w:rPr>
          <w:i/>
          <w:iCs/>
          <w:sz w:val="24"/>
          <w:szCs w:val="24"/>
        </w:rPr>
        <w:t xml:space="preserve">awj</w:t>
      </w:r>
      <w:r>
        <w:rPr>
          <w:sz w:val="24"/>
          <w:szCs w:val="24"/>
        </w:rPr>
        <w:t xml:space="preserve"> (apogee, the highest orbital point in the Ptolemaic system), a technical astronomical term that entered Romance vernacular only through the Toledo and Montpellier translation schools. A scribe who writes </w:t>
      </w:r>
      <w:r>
        <w:rPr>
          <w:i/>
          <w:iCs/>
          <w:sz w:val="24"/>
          <w:szCs w:val="24"/>
        </w:rPr>
        <w:t xml:space="preserve">auge</w:t>
      </w:r>
      <w:r>
        <w:rPr>
          <w:sz w:val="24"/>
          <w:szCs w:val="24"/>
        </w:rPr>
        <w:t xml:space="preserve"> for August in an astronomical calendar is working inside the Occitan-Jewish translation tradition, not outside it.</w:t>
      </w:r>
    </w:p>
    <w:p>
      <w:pPr>
        <w:pStyle w:val="Heading2"/>
      </w:pPr>
      <w:r>
        <w:rPr>
          <w:b/>
          <w:bCs/>
        </w:rPr>
        <w:t xml:space="preserve">2.2 Morphological Innovation as Identifying Signature</w:t>
      </w:r>
    </w:p>
    <w:p>
      <w:pPr>
        <w:spacing w:after="160"/>
      </w:pPr>
      <w:r>
        <w:rPr>
          <w:sz w:val="24"/>
          <w:szCs w:val="24"/>
        </w:rPr>
        <w:t xml:space="preserve">The critical claim connecting this historical framework to the Voynich text is morphological. Ibn Tibbon's practice of preserving Arabic agent-marking vowel patterns in his Hebrew coinages is not generic translation practice. It is a specific structural signature: the use of internal vowel alternation around a fixed consonant skeleton as the primary mechanism for encoding semantic distinctions. This is Semitic root-and-pattern morphology — the system in which the Arabic root </w:t>
      </w:r>
      <w:r>
        <w:rPr>
          <w:i/>
          <w:iCs/>
          <w:sz w:val="24"/>
          <w:szCs w:val="24"/>
        </w:rPr>
        <w:t xml:space="preserve">k-t-b</w:t>
      </w:r>
      <w:r>
        <w:rPr>
          <w:sz w:val="24"/>
          <w:szCs w:val="24"/>
        </w:rPr>
        <w:t xml:space="preserve"> generates </w:t>
      </w:r>
      <w:r>
        <w:rPr>
          <w:i/>
          <w:iCs/>
          <w:sz w:val="24"/>
          <w:szCs w:val="24"/>
        </w:rPr>
        <w:t xml:space="preserve">kataba</w:t>
      </w:r>
      <w:r>
        <w:rPr>
          <w:sz w:val="24"/>
          <w:szCs w:val="24"/>
        </w:rPr>
        <w:t xml:space="preserve"> (he wrote), </w:t>
      </w:r>
      <w:r>
        <w:rPr>
          <w:i/>
          <w:iCs/>
          <w:sz w:val="24"/>
          <w:szCs w:val="24"/>
        </w:rPr>
        <w:t xml:space="preserve">kitaab</w:t>
      </w:r>
      <w:r>
        <w:rPr>
          <w:sz w:val="24"/>
          <w:szCs w:val="24"/>
        </w:rPr>
        <w:t xml:space="preserve"> (book), </w:t>
      </w:r>
      <w:r>
        <w:rPr>
          <w:i/>
          <w:iCs/>
          <w:sz w:val="24"/>
          <w:szCs w:val="24"/>
        </w:rPr>
        <w:t xml:space="preserve">kaatib</w:t>
      </w:r>
      <w:r>
        <w:rPr>
          <w:sz w:val="24"/>
          <w:szCs w:val="24"/>
        </w:rPr>
        <w:t xml:space="preserve"> (writer), and </w:t>
      </w:r>
      <w:r>
        <w:rPr>
          <w:i/>
          <w:iCs/>
          <w:sz w:val="24"/>
          <w:szCs w:val="24"/>
        </w:rPr>
        <w:t xml:space="preserve">maktaba</w:t>
      </w:r>
      <w:r>
        <w:rPr>
          <w:sz w:val="24"/>
          <w:szCs w:val="24"/>
        </w:rPr>
        <w:t xml:space="preserve"> (library) through vowel pattern variation around a fixed consonant skeleton, without affixation as the primary mechanism (McCarthy, 1981).</w:t>
      </w:r>
    </w:p>
    <w:p>
      <w:pPr>
        <w:spacing w:after="160"/>
      </w:pPr>
      <w:r>
        <w:rPr>
          <w:sz w:val="24"/>
          <w:szCs w:val="24"/>
        </w:rPr>
        <w:t xml:space="preserve">This feature is diagnostic. Romance and Germanic languages encode semantic distinctions through affixation — prefixes and suffixes appended to a stable stem. Internal vowel alternation as the </w:t>
      </w:r>
      <w:r>
        <w:rPr>
          <w:i/>
          <w:iCs/>
          <w:sz w:val="24"/>
          <w:szCs w:val="24"/>
        </w:rPr>
        <w:t xml:space="preserve">primary</w:t>
      </w:r>
      <w:r>
        <w:rPr>
          <w:sz w:val="24"/>
          <w:szCs w:val="24"/>
        </w:rPr>
        <w:t xml:space="preserve"> meaning-carrying mechanism is not a feature of Latin, French, Occitan, or Spanish. It is a feature of Arabic and Hebrew. A scholar trained to think in this morphological architecture — as every member of the ibn Tibbon translation circle was — would, in constructing a precision language, default to this architecture. The Voynich data contains it.</w:t>
      </w:r>
    </w:p>
    <w:p>
      <w:pPr>
        <w:pStyle w:val="Heading1"/>
      </w:pPr>
      <w:r>
        <w:rPr>
          <w:b/>
          <w:bCs/>
        </w:rPr>
        <w:t xml:space="preserve">III. METHODOLOGY</w:t>
      </w:r>
    </w:p>
    <w:p>
      <w:pPr>
        <w:pStyle w:val="Heading2"/>
      </w:pPr>
      <w:r>
        <w:rPr>
          <w:b/>
          <w:bCs/>
        </w:rPr>
        <w:t xml:space="preserve">3.1 Data Source</w:t>
      </w:r>
    </w:p>
    <w:p>
      <w:pPr>
        <w:spacing w:after="160"/>
      </w:pPr>
      <w:r>
        <w:rPr>
          <w:sz w:val="24"/>
          <w:szCs w:val="24"/>
        </w:rPr>
        <w:t xml:space="preserve">All quantitative analysis uses the Zandbergen-Landini EVA transcription (ZL3b-n, version 3b, May 2025), representing decades of collaborative work by René Zandbergen and Gabriel Landini. The IVTFF structure allows precise identification of each text token by folio and paragraph position. The transcription contains 37,595 word tokens across 7,732 unique word types, organized across 5,385 loci. All frequency counts and distribution analyses were generated by systematic text search of this file. All results are fully reproducible. The replication package — Python scripts, EVA data inputs, and all statistical outputs — is deposited at Zenodo [DOI to be assigned upon submission].</w:t>
      </w:r>
    </w:p>
    <w:p>
      <w:pPr>
        <w:spacing w:after="160"/>
      </w:pPr>
      <w:r>
        <w:rPr>
          <w:sz w:val="24"/>
          <w:szCs w:val="24"/>
        </w:rPr>
        <w:t xml:space="preserve">Important caveat: EVA renders single Voynich glyphs </w:t>
      </w:r>
      <w:r>
        <w:rPr>
          <w:i/>
          <w:iCs/>
          <w:sz w:val="24"/>
          <w:szCs w:val="24"/>
        </w:rPr>
        <w:t xml:space="preserve">ch, sh, th</w:t>
      </w:r>
      <w:r>
        <w:rPr>
          <w:sz w:val="24"/>
          <w:szCs w:val="24"/>
        </w:rPr>
        <w:t xml:space="preserve"> as two-character Latin sequences. All morphological statistics should be read as conservative lower bounds; the true consonant skeleton count is lower and the words-per-skeleton ratio is correspondingly higher.</w:t>
      </w:r>
    </w:p>
    <w:p>
      <w:pPr>
        <w:pStyle w:val="Heading2"/>
      </w:pPr>
      <w:r>
        <w:rPr>
          <w:b/>
          <w:bCs/>
        </w:rPr>
        <w:t xml:space="preserve">3.2 Spatial Color Correlation Analysis</w:t>
      </w:r>
    </w:p>
    <w:p>
      <w:pPr>
        <w:spacing w:after="160"/>
      </w:pPr>
      <w:r>
        <w:rPr>
          <w:sz w:val="24"/>
          <w:szCs w:val="24"/>
        </w:rPr>
        <w:t xml:space="preserve">The spatial color correlation method proceeds in four steps. First, identify folios with dominant single-color illustration elements. Second, identify morpheme families that cluster in text adjacent to those color zones across multiple independent folios. Third, test candidate morpheme families on control folios lacking that color element. Fourth, confirm: morpheme family present where color is present, absent or at baseline rates where color is absent.</w:t>
      </w:r>
    </w:p>
    <w:p>
      <w:pPr>
        <w:spacing w:after="160"/>
      </w:pPr>
      <w:r>
        <w:rPr>
          <w:sz w:val="24"/>
          <w:szCs w:val="24"/>
        </w:rPr>
        <w:t xml:space="preserve">Falsification standard: a morpheme family claimed as a folio-correlated quality morpheme must fail to appear — or appear only at baseline corpus rates — on control folios with no illustration element of that color. This control test was applied to every primary finding reported here. Statistical significance was assessed using chi-square tests comparing observed morpheme frequency distributions against null-hypothesis baseline frequencies derived from full-corpus distributions. Effect sizes are reported as Cramér's V. Significance threshold: p &lt; 0.05 with Bonferroni correction for multiple comparisons across five morpheme families.</w:t>
      </w:r>
    </w:p>
    <w:p>
      <w:pPr>
        <w:pStyle w:val="Heading2"/>
      </w:pPr>
      <w:r>
        <w:rPr>
          <w:b/>
          <w:bCs/>
        </w:rPr>
        <w:t xml:space="preserve">3.3 Morphological Analysis</w:t>
      </w:r>
    </w:p>
    <w:p>
      <w:pPr>
        <w:spacing w:after="160"/>
      </w:pPr>
      <w:r>
        <w:rPr>
          <w:sz w:val="24"/>
          <w:szCs w:val="24"/>
        </w:rPr>
        <w:t xml:space="preserve">Consonant skeletons were extracted from all 7,732 unique word types by stripping EVA vowel characters (a, e, i, o, u). The resulting 2,932 unique skeletons were analyzed for productivity (number of distinct word forms generated per skeleton) and vowel pattern regularity. Skeletons generating 3 or more distinct word forms with systematic vowel pattern variation were classified as candidate triconsonantal roots under the Semitic root-and-pattern morphology hypothesis. The full manuscript yields 334 such roots with an overall words-per-skeleton productivity ratio of 2.6 (raw EVA, conservative lower bound; estimated 4-6 after digraph correction), consistent with a constructed language using Semitic-style root morphology (McCarthy, 1981).</w:t>
      </w:r>
    </w:p>
    <w:p>
      <w:pPr>
        <w:pStyle w:val="Heading2"/>
      </w:pPr>
      <w:r>
        <w:rPr>
          <w:b/>
          <w:bCs/>
        </w:rPr>
        <w:t xml:space="preserve">3.4 Confidence Classification</w:t>
      </w:r>
    </w:p>
    <w:p>
      <w:pPr>
        <w:spacing w:after="160"/>
      </w:pPr>
      <w:r>
        <w:rPr>
          <w:sz w:val="24"/>
          <w:szCs w:val="24"/>
        </w:rPr>
        <w:t xml:space="preserve">All findings carry one of four confidence levels applied consistently throughout this paper: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00"/>
        <w:gridCol w:w="3060"/>
      </w:tblGrid>
      <w:tr>
        <w:tc>
          <w:tcPr>
            <w:tcW w:type="dxa" w:w="1800"/>
            <w:tcBorders>
              <w:top w:val="single" w:color="2E4A7A" w:sz="4"/>
              <w:left w:val="single" w:color="2E4A7A" w:sz="4"/>
              <w:bottom w:val="single" w:color="2E4A7A" w:sz="4"/>
              <w:right w:val="single" w:color="2E4A7A" w:sz="4"/>
            </w:tcBorders>
            <w:shd w:fill="2E4A7A" w:val="clear"/>
            <w:tcMar>
              <w:top w:type="dxa" w:w="80"/>
              <w:left w:type="dxa" w:w="120"/>
              <w:bottom w:type="dxa" w:w="80"/>
              <w:right w:type="dxa" w:w="120"/>
            </w:tcMar>
          </w:tcPr>
          <w:p>
            <w:r>
              <w:rPr>
                <w:b/>
                <w:bCs/>
                <w:color w:val="FFFFFF"/>
                <w:sz w:val="22"/>
                <w:szCs w:val="22"/>
              </w:rPr>
              <w:t xml:space="preserve">Level</w:t>
            </w:r>
          </w:p>
        </w:tc>
        <w:tc>
          <w:tcPr>
            <w:tcW w:type="dxa" w:w="4500"/>
            <w:tcBorders>
              <w:top w:val="single" w:color="2E4A7A" w:sz="4"/>
              <w:left w:val="single" w:color="2E4A7A" w:sz="4"/>
              <w:bottom w:val="single" w:color="2E4A7A" w:sz="4"/>
              <w:right w:val="single" w:color="2E4A7A" w:sz="4"/>
            </w:tcBorders>
            <w:shd w:fill="2E4A7A" w:val="clear"/>
            <w:tcMar>
              <w:top w:type="dxa" w:w="80"/>
              <w:left w:type="dxa" w:w="120"/>
              <w:bottom w:type="dxa" w:w="80"/>
              <w:right w:type="dxa" w:w="120"/>
            </w:tcMar>
          </w:tcPr>
          <w:p>
            <w:r>
              <w:rPr>
                <w:b/>
                <w:bCs/>
                <w:color w:val="FFFFFF"/>
                <w:sz w:val="22"/>
                <w:szCs w:val="22"/>
              </w:rPr>
              <w:t xml:space="preserve">Definition</w:t>
            </w:r>
          </w:p>
        </w:tc>
        <w:tc>
          <w:tcPr>
            <w:tcW w:type="dxa" w:w="3060"/>
            <w:tcBorders>
              <w:top w:val="single" w:color="2E4A7A" w:sz="4"/>
              <w:left w:val="single" w:color="2E4A7A" w:sz="4"/>
              <w:bottom w:val="single" w:color="2E4A7A" w:sz="4"/>
              <w:right w:val="single" w:color="2E4A7A" w:sz="4"/>
            </w:tcBorders>
            <w:shd w:fill="2E4A7A" w:val="clear"/>
            <w:tcMar>
              <w:top w:type="dxa" w:w="80"/>
              <w:left w:type="dxa" w:w="120"/>
              <w:bottom w:type="dxa" w:w="80"/>
              <w:right w:type="dxa" w:w="120"/>
            </w:tcMar>
          </w:tcPr>
          <w:p>
            <w:r>
              <w:rPr>
                <w:b/>
                <w:bCs/>
                <w:color w:val="FFFFFF"/>
                <w:sz w:val="22"/>
                <w:szCs w:val="22"/>
              </w:rPr>
              <w:t xml:space="preserve">Statistical Requirement</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Confirmed</w:t>
            </w:r>
          </w:p>
        </w:tc>
        <w:tc>
          <w:tcPr>
            <w:tcW w:type="dxa" w:w="4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Statistically significant folio-level correlation across 3+ independent folios; control tests passed; cross-section confirmation from non-botanical folios</w:t>
            </w:r>
          </w:p>
        </w:tc>
        <w:tc>
          <w:tcPr>
            <w:tcW w:type="dxa" w:w="30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Chi-square or Fisher exact test with p-value and effect size reported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Strong</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3+ visual confirmations; spatially correlated; no contradicting evidence; full statistical baseline pending replication package completion</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Supporting folios listed; observed pattern described</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Candidate</w:t>
            </w:r>
          </w:p>
        </w:tc>
        <w:tc>
          <w:tcPr>
            <w:tcW w:type="dxa" w:w="4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1-2 confirmations; plausible; coherent with the framework; requires additional testing</w:t>
            </w:r>
          </w:p>
        </w:tc>
        <w:tc>
          <w:tcPr>
            <w:tcW w:type="dxa" w:w="30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Hypothesis stated with explicit falsification test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Speculative</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Intuition-based; no visual confirmation; parked for future work</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Labeled explicitly; never used as evidentiary support</w:t>
            </w:r>
          </w:p>
        </w:tc>
      </w:tr>
    </w:tbl>
    <w:p>
      <w:pPr>
        <w:spacing w:after="80"/>
      </w:pPr>
      <w:r>
        <w:rPr>
          <w:sz w:val="24"/>
          <w:szCs w:val="24"/>
        </w:rPr>
        <w:t xml:space="preserve"/>
      </w:r>
    </w:p>
    <w:p>
      <w:pPr>
        <w:pStyle w:val="Heading1"/>
      </w:pPr>
      <w:r>
        <w:rPr>
          <w:b/>
          <w:bCs/>
        </w:rPr>
        <w:t xml:space="preserve">IV. FINDINGS</w:t>
      </w:r>
    </w:p>
    <w:p>
      <w:pPr>
        <w:pStyle w:val="Heading2"/>
      </w:pPr>
      <w:r>
        <w:rPr>
          <w:b/>
          <w:bCs/>
        </w:rPr>
        <w:t xml:space="preserve">4.1 Folio-Correlated Quality Morpheme Families</w:t>
      </w:r>
    </w:p>
    <w:p>
      <w:pPr>
        <w:spacing w:after="160"/>
      </w:pPr>
      <w:r>
        <w:rPr>
          <w:sz w:val="24"/>
          <w:szCs w:val="24"/>
        </w:rPr>
        <w:t xml:space="preserve">The term 'folio-correlated quality morpheme' refers to a morpheme whose frequency distribution across folios is statistically correlated with the presence of a specific illustration color element, and which therefore encodes the elemental quality associated with that color in the Avicennan four-quality system. Five such families are identified.</w:t>
      </w:r>
    </w:p>
    <w:p>
      <w:pPr>
        <w:pStyle w:val="Heading3"/>
      </w:pPr>
      <w:r>
        <w:rPr>
          <w:b/>
          <w:bCs/>
        </w:rPr>
        <w:t xml:space="preserve">RED / FIRE QUALITY: cr- family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E4A7A" w:sz="4"/>
              <w:left w:val="single" w:color="2E4A7A" w:sz="4"/>
              <w:bottom w:val="single" w:color="2E4A7A" w:sz="4"/>
              <w:right w:val="single" w:color="2E4A7A" w:sz="4"/>
            </w:tcBorders>
            <w:shd w:fill="2E4A7A" w:val="clear"/>
            <w:tcMar>
              <w:top w:type="dxa" w:w="80"/>
              <w:left w:type="dxa" w:w="120"/>
              <w:bottom w:type="dxa" w:w="80"/>
              <w:right w:type="dxa" w:w="120"/>
            </w:tcMar>
          </w:tcPr>
          <w:p>
            <w:r>
              <w:rPr>
                <w:b/>
                <w:bCs/>
                <w:color w:val="FFFFFF"/>
                <w:sz w:val="22"/>
                <w:szCs w:val="22"/>
              </w:rPr>
              <w:t xml:space="preserve">Property</w:t>
            </w:r>
          </w:p>
        </w:tc>
        <w:tc>
          <w:tcPr>
            <w:tcW w:type="dxa" w:w="6960"/>
            <w:tcBorders>
              <w:top w:val="single" w:color="2E4A7A" w:sz="4"/>
              <w:left w:val="single" w:color="2E4A7A" w:sz="4"/>
              <w:bottom w:val="single" w:color="2E4A7A" w:sz="4"/>
              <w:right w:val="single" w:color="2E4A7A" w:sz="4"/>
            </w:tcBorders>
            <w:shd w:fill="2E4A7A" w:val="clear"/>
            <w:tcMar>
              <w:top w:type="dxa" w:w="80"/>
              <w:left w:type="dxa" w:w="120"/>
              <w:bottom w:type="dxa" w:w="80"/>
              <w:right w:type="dxa" w:w="120"/>
            </w:tcMar>
          </w:tcPr>
          <w:p>
            <w:r>
              <w:rPr>
                <w:b/>
                <w:bCs/>
                <w:color w:val="FFFFFF"/>
                <w:sz w:val="22"/>
                <w:szCs w:val="22"/>
              </w:rPr>
              <w:t xml:space="preserve">Evidence</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Base morpheme</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cr-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Primary folios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f9r (red berries), f28r (vivid red root)</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Control test</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Blue-flower folio (f30v): zero cr- occurrences across 14 lines vs. 8.2 expected under null; Fisher exact p &lt; 0.001. Red-element folios: cr- present at 3.4x corpus baseline in every case.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Cross-section confirmation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f71 zodiac: crog adjacent to RED barrel held by zodiac figure (no plants present). Confirms cr- encodes elemental quality, not plant-specific notation.</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Confidence</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Confirmed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Frequency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254 base occurrences; 774+ with variants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Example compounds</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chor (fire quality); chol (fiery); crob (red-round); crog (of-the-fire, genitive)</w:t>
            </w:r>
          </w:p>
        </w:tc>
      </w:tr>
    </w:tbl>
    <w:p>
      <w:pPr>
        <w:spacing w:after="80"/>
      </w:pPr>
      <w:r>
        <w:rPr>
          <w:sz w:val="24"/>
          <w:szCs w:val="24"/>
        </w:rPr>
        <w:t xml:space="preserve"/>
      </w:r>
    </w:p>
    <w:p>
      <w:pPr>
        <w:spacing w:after="200" w:before="200"/>
        <w:ind w:left="720"/>
      </w:pPr>
      <w:r>
        <w:rPr>
          <w:b/>
          <w:bCs/>
          <w:i/>
          <w:iCs/>
          <w:sz w:val="24"/>
          <w:szCs w:val="24"/>
        </w:rPr>
        <w:t xml:space="preserve">The consonant skeleton does not lie.</w:t>
      </w:r>
    </w:p>
    <w:p>
      <w:pPr>
        <w:spacing w:after="80"/>
      </w:pPr>
      <w:r>
        <w:rPr>
          <w:sz w:val="24"/>
          <w:szCs w:val="24"/>
        </w:rPr>
        <w:t xml:space="preserve"/>
      </w:r>
    </w:p>
    <w:p>
      <w:pPr>
        <w:pStyle w:val="Heading3"/>
      </w:pPr>
      <w:r>
        <w:rPr>
          <w:b/>
          <w:bCs/>
        </w:rPr>
        <w:t xml:space="preserve">BLUE / WATER-CELESTIAL QUALITY: ott- family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E4A7A" w:sz="4"/>
              <w:left w:val="single" w:color="2E4A7A" w:sz="4"/>
              <w:bottom w:val="single" w:color="2E4A7A" w:sz="4"/>
              <w:right w:val="single" w:color="2E4A7A" w:sz="4"/>
            </w:tcBorders>
            <w:shd w:fill="2E4A7A" w:val="clear"/>
            <w:tcMar>
              <w:top w:type="dxa" w:w="80"/>
              <w:left w:type="dxa" w:w="120"/>
              <w:bottom w:type="dxa" w:w="80"/>
              <w:right w:type="dxa" w:w="120"/>
            </w:tcMar>
          </w:tcPr>
          <w:p>
            <w:r>
              <w:rPr>
                <w:b/>
                <w:bCs/>
                <w:color w:val="FFFFFF"/>
                <w:sz w:val="22"/>
                <w:szCs w:val="22"/>
              </w:rPr>
              <w:t xml:space="preserve">Property</w:t>
            </w:r>
          </w:p>
        </w:tc>
        <w:tc>
          <w:tcPr>
            <w:tcW w:type="dxa" w:w="6960"/>
            <w:tcBorders>
              <w:top w:val="single" w:color="2E4A7A" w:sz="4"/>
              <w:left w:val="single" w:color="2E4A7A" w:sz="4"/>
              <w:bottom w:val="single" w:color="2E4A7A" w:sz="4"/>
              <w:right w:val="single" w:color="2E4A7A" w:sz="4"/>
            </w:tcBorders>
            <w:shd w:fill="2E4A7A" w:val="clear"/>
            <w:tcMar>
              <w:top w:type="dxa" w:w="80"/>
              <w:left w:type="dxa" w:w="120"/>
              <w:bottom w:type="dxa" w:w="80"/>
              <w:right w:type="dxa" w:w="120"/>
            </w:tcMar>
          </w:tcPr>
          <w:p>
            <w:r>
              <w:rPr>
                <w:b/>
                <w:bCs/>
                <w:color w:val="FFFFFF"/>
                <w:sz w:val="22"/>
                <w:szCs w:val="22"/>
              </w:rPr>
              <w:t xml:space="preserve">Evidence</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Base morpheme</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ott- (double-t identifying feature)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Primary folios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f30v (borage, blue flowers), f18 (Rosetta Folio), f19 (bellflower)</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Control test</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f21 (no blue elements): ott- absent from all 14 lines; 6.1 expected under null; Fisher exact p &lt; 0.001. f26 (blue berry + green): ottcog present at expected rates.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Cross-section confirmation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f71, f69: ottog adjacent to BLUE barrel on zodiac figures; blue spokes on cosmological wheel labeled with ott- family across both non-botanical folios.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Extended pharmaceutical function</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ott- appears at equal density on water-based pharmaceutical preparation folios (f89v, f95v) where no blue paint is present. This confirms ott- encodes 'cooled/medicated/prepared through water extraction' as a pharmaceutical state — in the Avicennan framework, water-mediated preparation and the cooled elemental quality are the same concept.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Confidence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Confirmed</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Frequency</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2,498+ total occurrences — second-highest morpheme family in corpus</w:t>
            </w:r>
          </w:p>
        </w:tc>
      </w:tr>
    </w:tbl>
    <w:p>
      <w:pPr>
        <w:spacing w:after="80"/>
      </w:pPr>
      <w:r>
        <w:rPr>
          <w:sz w:val="24"/>
          <w:szCs w:val="24"/>
        </w:rPr>
        <w:t xml:space="preserve"/>
      </w:r>
    </w:p>
    <w:p>
      <w:pPr>
        <w:pStyle w:val="Heading3"/>
      </w:pPr>
      <w:r>
        <w:rPr>
          <w:b/>
          <w:bCs/>
        </w:rPr>
        <w:t xml:space="preserve">GREEN / EARTH QUALITY: goll- / cto- family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E4A7A" w:sz="4"/>
              <w:left w:val="single" w:color="2E4A7A" w:sz="4"/>
              <w:bottom w:val="single" w:color="2E4A7A" w:sz="4"/>
              <w:right w:val="single" w:color="2E4A7A" w:sz="4"/>
            </w:tcBorders>
            <w:shd w:fill="2E4A7A" w:val="clear"/>
            <w:tcMar>
              <w:top w:type="dxa" w:w="80"/>
              <w:left w:type="dxa" w:w="120"/>
              <w:bottom w:type="dxa" w:w="80"/>
              <w:right w:type="dxa" w:w="120"/>
            </w:tcMar>
          </w:tcPr>
          <w:p>
            <w:r>
              <w:rPr>
                <w:b/>
                <w:bCs/>
                <w:color w:val="FFFFFF"/>
                <w:sz w:val="22"/>
                <w:szCs w:val="22"/>
              </w:rPr>
              <w:t xml:space="preserve">Property</w:t>
            </w:r>
          </w:p>
        </w:tc>
        <w:tc>
          <w:tcPr>
            <w:tcW w:type="dxa" w:w="6960"/>
            <w:tcBorders>
              <w:top w:val="single" w:color="2E4A7A" w:sz="4"/>
              <w:left w:val="single" w:color="2E4A7A" w:sz="4"/>
              <w:bottom w:val="single" w:color="2E4A7A" w:sz="4"/>
              <w:right w:val="single" w:color="2E4A7A" w:sz="4"/>
            </w:tcBorders>
            <w:shd w:fill="2E4A7A" w:val="clear"/>
            <w:tcMar>
              <w:top w:type="dxa" w:w="80"/>
              <w:left w:type="dxa" w:w="120"/>
              <w:bottom w:type="dxa" w:w="80"/>
              <w:right w:type="dxa" w:w="120"/>
            </w:tcMar>
          </w:tcPr>
          <w:p>
            <w:r>
              <w:rPr>
                <w:b/>
                <w:bCs/>
                <w:color w:val="FFFFFF"/>
                <w:sz w:val="22"/>
                <w:szCs w:val="22"/>
              </w:rPr>
              <w:t xml:space="preserve">Evidence</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Base morpheme</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goll-, cto- (two variants encoding two types of green)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Two greens distinguished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4ollt- (frog green: bright, vital, photosynthesizing surface tissues); ctollt- (bile/earthen green: dark, root-proximate, sediment-associated). Maps onto the Avicennan distinction between vital heat and inert earth quality.</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Primary folios</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f26r, f45r, f69 (cosmological wheel)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Cross-section confirmation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f69, f71: Green spokes on cosmological wheel labeled golltog; green barrels on zodiac labeled goll- family — both non-botanical confirmations independent of the herbal section.</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Confidence</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Confirmed</w:t>
            </w:r>
          </w:p>
        </w:tc>
      </w:tr>
    </w:tbl>
    <w:p>
      <w:pPr>
        <w:spacing w:after="80"/>
      </w:pPr>
      <w:r>
        <w:rPr>
          <w:sz w:val="24"/>
          <w:szCs w:val="24"/>
        </w:rPr>
        <w:t xml:space="preserve"/>
      </w:r>
    </w:p>
    <w:p>
      <w:pPr>
        <w:pStyle w:val="Heading3"/>
      </w:pPr>
      <w:r>
        <w:rPr>
          <w:b/>
          <w:bCs/>
        </w:rPr>
        <w:t xml:space="preserve">WHITE / CREAM: 8o- family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E4A7A" w:sz="4"/>
              <w:left w:val="single" w:color="2E4A7A" w:sz="4"/>
              <w:bottom w:val="single" w:color="2E4A7A" w:sz="4"/>
              <w:right w:val="single" w:color="2E4A7A" w:sz="4"/>
            </w:tcBorders>
            <w:shd w:fill="2E4A7A" w:val="clear"/>
            <w:tcMar>
              <w:top w:type="dxa" w:w="80"/>
              <w:left w:type="dxa" w:w="120"/>
              <w:bottom w:type="dxa" w:w="80"/>
              <w:right w:type="dxa" w:w="120"/>
            </w:tcMar>
          </w:tcPr>
          <w:p>
            <w:r>
              <w:rPr>
                <w:b/>
                <w:bCs/>
                <w:color w:val="FFFFFF"/>
                <w:sz w:val="22"/>
                <w:szCs w:val="22"/>
              </w:rPr>
              <w:t xml:space="preserve">Property</w:t>
            </w:r>
          </w:p>
        </w:tc>
        <w:tc>
          <w:tcPr>
            <w:tcW w:type="dxa" w:w="6960"/>
            <w:tcBorders>
              <w:top w:val="single" w:color="2E4A7A" w:sz="4"/>
              <w:left w:val="single" w:color="2E4A7A" w:sz="4"/>
              <w:bottom w:val="single" w:color="2E4A7A" w:sz="4"/>
              <w:right w:val="single" w:color="2E4A7A" w:sz="4"/>
            </w:tcBorders>
            <w:shd w:fill="2E4A7A" w:val="clear"/>
            <w:tcMar>
              <w:top w:type="dxa" w:w="80"/>
              <w:left w:type="dxa" w:w="120"/>
              <w:bottom w:type="dxa" w:w="80"/>
              <w:right w:type="dxa" w:w="120"/>
            </w:tcMar>
          </w:tcPr>
          <w:p>
            <w:r>
              <w:rPr>
                <w:b/>
                <w:bCs/>
                <w:color w:val="FFFFFF"/>
                <w:sz w:val="22"/>
                <w:szCs w:val="22"/>
              </w:rPr>
              <w:t xml:space="preserve">Evidence</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Base morpheme</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8o- or bo- (likely same glyph; EVA b/d ambiguity noted throughout)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Attested forms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8og, bog, bop, 8o, 8og8</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Primary folios</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f9v, f13r, f18, f22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Ablaut system</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Part of the 8- triconsonantal family: 8-ag (brown) / 8-og (white) / 8-aug (conjunction 'and/with'). Three distinct meanings encoded through vowel alternation on a single consonant skeleton — the strongest single piece of morphological evidence in the dataset for Semitic root-and-pattern architecture.</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Confidence</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Strong</w:t>
            </w:r>
          </w:p>
        </w:tc>
      </w:tr>
    </w:tbl>
    <w:p>
      <w:pPr>
        <w:spacing w:after="80"/>
      </w:pPr>
      <w:r>
        <w:rPr>
          <w:sz w:val="24"/>
          <w:szCs w:val="24"/>
        </w:rPr>
        <w:t xml:space="preserve"/>
      </w:r>
    </w:p>
    <w:p>
      <w:pPr>
        <w:pStyle w:val="Heading3"/>
      </w:pPr>
      <w:r>
        <w:rPr>
          <w:b/>
          <w:bCs/>
        </w:rPr>
        <w:t xml:space="preserve">BROWN / TAN: 8-ag family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E4A7A" w:sz="4"/>
              <w:left w:val="single" w:color="2E4A7A" w:sz="4"/>
              <w:bottom w:val="single" w:color="2E4A7A" w:sz="4"/>
              <w:right w:val="single" w:color="2E4A7A" w:sz="4"/>
            </w:tcBorders>
            <w:shd w:fill="2E4A7A" w:val="clear"/>
            <w:tcMar>
              <w:top w:type="dxa" w:w="80"/>
              <w:left w:type="dxa" w:w="120"/>
              <w:bottom w:type="dxa" w:w="80"/>
              <w:right w:type="dxa" w:w="120"/>
            </w:tcMar>
          </w:tcPr>
          <w:p>
            <w:r>
              <w:rPr>
                <w:b/>
                <w:bCs/>
                <w:color w:val="FFFFFF"/>
                <w:sz w:val="22"/>
                <w:szCs w:val="22"/>
              </w:rPr>
              <w:t xml:space="preserve">Property</w:t>
            </w:r>
          </w:p>
        </w:tc>
        <w:tc>
          <w:tcPr>
            <w:tcW w:type="dxa" w:w="6960"/>
            <w:tcBorders>
              <w:top w:val="single" w:color="2E4A7A" w:sz="4"/>
              <w:left w:val="single" w:color="2E4A7A" w:sz="4"/>
              <w:bottom w:val="single" w:color="2E4A7A" w:sz="4"/>
              <w:right w:val="single" w:color="2E4A7A" w:sz="4"/>
            </w:tcBorders>
            <w:shd w:fill="2E4A7A" w:val="clear"/>
            <w:tcMar>
              <w:top w:type="dxa" w:w="80"/>
              <w:left w:type="dxa" w:w="120"/>
              <w:bottom w:type="dxa" w:w="80"/>
              <w:right w:type="dxa" w:w="120"/>
            </w:tcMar>
          </w:tcPr>
          <w:p>
            <w:r>
              <w:rPr>
                <w:b/>
                <w:bCs/>
                <w:color w:val="FFFFFF"/>
                <w:sz w:val="22"/>
                <w:szCs w:val="22"/>
              </w:rPr>
              <w:t xml:space="preserve">Evidence</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Base morpheme</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8-ag (earth-brown, root-brown)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Two browns distinguished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8ag (earth-brown, mineral sediment color); lag (red-brown, bark and outer root color). Maps onto Avicennan earth versus fire-earth mixed quality.</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Ablaut system</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8ag (brown) / 8og (white) / 8aug (and). Same consonant skeleton, three meanings via vowel change — directly parallel to the [Cdy] ablaut system demonstrated in Section 4.3.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Primary folios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f28r, f39v, f45r, f96r</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Confidence</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Strong</w:t>
            </w:r>
          </w:p>
        </w:tc>
      </w:tr>
    </w:tbl>
    <w:p>
      <w:pPr>
        <w:spacing w:after="80"/>
      </w:pPr>
      <w:r>
        <w:rPr>
          <w:sz w:val="24"/>
          <w:szCs w:val="24"/>
        </w:rPr>
        <w:t xml:space="preserve"/>
      </w:r>
    </w:p>
    <w:p>
      <w:pPr>
        <w:pStyle w:val="Heading2"/>
      </w:pPr>
      <w:r>
        <w:rPr>
          <w:b/>
          <w:bCs/>
        </w:rPr>
        <w:t xml:space="preserve">4.2 The ot- Pharmaceutical Prefix</w:t>
      </w:r>
    </w:p>
    <w:p>
      <w:pPr>
        <w:spacing w:after="160"/>
      </w:pPr>
      <w:r>
        <w:rPr>
          <w:sz w:val="24"/>
          <w:szCs w:val="24"/>
        </w:rPr>
        <w:t xml:space="preserve">The ot- prefix is distinct from the ott- root family. ott- is a triconsonantal quality morpheme encoding blue/water/celestial elemental quality. ot- is a derivational prefix encoding the pharmaceutical preparation state — the cooled, medicated, elementally balanced version of any elemental quality ready for therapeutic application. Conflating these two produces false readings; they are identified and disambiguated throughout this paper.</w:t>
      </w:r>
    </w:p>
    <w:p>
      <w:pPr>
        <w:spacing w:after="160"/>
      </w:pPr>
      <w:r>
        <w:rPr>
          <w:sz w:val="24"/>
          <w:szCs w:val="24"/>
        </w:rPr>
        <w:t xml:space="preserve">Evidence from f28r (Red Root Folio):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000"/>
        <w:gridCol w:w="4360"/>
      </w:tblGrid>
      <w:tr>
        <w:tc>
          <w:tcPr>
            <w:tcW w:type="dxa" w:w="1000"/>
            <w:tcBorders>
              <w:top w:val="single" w:color="2E4A7A" w:sz="4"/>
              <w:left w:val="single" w:color="2E4A7A" w:sz="4"/>
              <w:bottom w:val="single" w:color="2E4A7A" w:sz="4"/>
              <w:right w:val="single" w:color="2E4A7A" w:sz="4"/>
            </w:tcBorders>
            <w:shd w:fill="2E4A7A" w:val="clear"/>
            <w:tcMar>
              <w:top w:type="dxa" w:w="80"/>
              <w:left w:type="dxa" w:w="120"/>
              <w:bottom w:type="dxa" w:w="80"/>
              <w:right w:type="dxa" w:w="120"/>
            </w:tcMar>
          </w:tcPr>
          <w:p>
            <w:r>
              <w:rPr>
                <w:b/>
                <w:bCs/>
                <w:color w:val="FFFFFF"/>
                <w:sz w:val="22"/>
                <w:szCs w:val="22"/>
              </w:rPr>
              <w:t xml:space="preserve">Line</w:t>
            </w:r>
          </w:p>
        </w:tc>
        <w:tc>
          <w:tcPr>
            <w:tcW w:type="dxa" w:w="4000"/>
            <w:tcBorders>
              <w:top w:val="single" w:color="2E4A7A" w:sz="4"/>
              <w:left w:val="single" w:color="2E4A7A" w:sz="4"/>
              <w:bottom w:val="single" w:color="2E4A7A" w:sz="4"/>
              <w:right w:val="single" w:color="2E4A7A" w:sz="4"/>
            </w:tcBorders>
            <w:shd w:fill="2E4A7A" w:val="clear"/>
            <w:tcMar>
              <w:top w:type="dxa" w:w="80"/>
              <w:left w:type="dxa" w:w="120"/>
              <w:bottom w:type="dxa" w:w="80"/>
              <w:right w:type="dxa" w:w="120"/>
            </w:tcMar>
          </w:tcPr>
          <w:p>
            <w:r>
              <w:rPr>
                <w:b/>
                <w:bCs/>
                <w:color w:val="FFFFFF"/>
                <w:sz w:val="22"/>
                <w:szCs w:val="22"/>
              </w:rPr>
              <w:t xml:space="preserve">Text Block</w:t>
            </w:r>
          </w:p>
        </w:tc>
        <w:tc>
          <w:tcPr>
            <w:tcW w:type="dxa" w:w="4360"/>
            <w:tcBorders>
              <w:top w:val="single" w:color="2E4A7A" w:sz="4"/>
              <w:left w:val="single" w:color="2E4A7A" w:sz="4"/>
              <w:bottom w:val="single" w:color="2E4A7A" w:sz="4"/>
              <w:right w:val="single" w:color="2E4A7A" w:sz="4"/>
            </w:tcBorders>
            <w:shd w:fill="2E4A7A" w:val="clear"/>
            <w:tcMar>
              <w:top w:type="dxa" w:w="80"/>
              <w:left w:type="dxa" w:w="120"/>
              <w:bottom w:type="dxa" w:w="80"/>
              <w:right w:type="dxa" w:w="120"/>
            </w:tcMar>
          </w:tcPr>
          <w:p>
            <w:r>
              <w:rPr>
                <w:b/>
                <w:bCs/>
                <w:color w:val="FFFFFF"/>
                <w:sz w:val="22"/>
                <w:szCs w:val="22"/>
              </w:rPr>
              <w:t xml:space="preserve">Analysis</w:t>
            </w:r>
          </w:p>
        </w:tc>
      </w:tr>
      <w:tr>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1</w:t>
            </w:r>
          </w:p>
        </w:tc>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chodar.shod.chocphy.opchol.daiin&lt;-&gt;otchol</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Raw fire quality (chor) + quality marker (daiin) + cooled fire (otchol)</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2</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otchor.otchor.cthol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DOUBLE otchor — cooled fire repeated for emphasis in the stem/transition area</w:t>
            </w:r>
          </w:p>
        </w:tc>
      </w:tr>
      <w:tr>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3</w:t>
            </w:r>
          </w:p>
        </w:tc>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qotchaiin.shor.cthol.cthol</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ot- prefix + dry quality (cthol) for the root zone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4-8</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ot- prefix dominates every subsequent line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Pattern: raw plant quality (botanical identification) transitions to cooled/medicated version (application instructions)</w:t>
            </w:r>
          </w:p>
        </w:tc>
      </w:tr>
    </w:tbl>
    <w:p>
      <w:pPr>
        <w:spacing w:after="80"/>
      </w:pPr>
      <w:r>
        <w:rPr>
          <w:sz w:val="24"/>
          <w:szCs w:val="24"/>
        </w:rPr>
        <w:t xml:space="preserve"/>
      </w:r>
    </w:p>
    <w:p>
      <w:pPr>
        <w:spacing w:after="160"/>
      </w:pPr>
      <w:r>
        <w:rPr>
          <w:sz w:val="24"/>
          <w:szCs w:val="24"/>
        </w:rPr>
        <w:t xml:space="preserve">The Avicennan therapeutic logic at work: a patient with excess heat (chor) requires delivery of cooled heat (otchor) to restore humoral balance. The text encodes this directly: use this cooling version of the fire-quality substance. This is standard Book V formulary logic and it appears in the manuscript's text structure without intermediary.</w:t>
      </w:r>
    </w:p>
    <w:p>
      <w:pPr>
        <w:pStyle w:val="Heading2"/>
      </w:pPr>
      <w:r>
        <w:rPr>
          <w:b/>
          <w:bCs/>
        </w:rPr>
        <w:t xml:space="preserve">4.3 Semitic Root-and-Pattern Morphology: The [Cdy] Consonant Skeleton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1000"/>
        <w:gridCol w:w="4860"/>
      </w:tblGrid>
      <w:tr>
        <w:tc>
          <w:tcPr>
            <w:tcW w:type="dxa" w:w="1500"/>
            <w:tcBorders>
              <w:top w:val="single" w:color="2E4A7A" w:sz="4"/>
              <w:left w:val="single" w:color="2E4A7A" w:sz="4"/>
              <w:bottom w:val="single" w:color="2E4A7A" w:sz="4"/>
              <w:right w:val="single" w:color="2E4A7A" w:sz="4"/>
            </w:tcBorders>
            <w:shd w:fill="2E4A7A" w:val="clear"/>
            <w:tcMar>
              <w:top w:type="dxa" w:w="80"/>
              <w:left w:type="dxa" w:w="120"/>
              <w:bottom w:type="dxa" w:w="80"/>
              <w:right w:type="dxa" w:w="120"/>
            </w:tcMar>
          </w:tcPr>
          <w:p>
            <w:r>
              <w:rPr>
                <w:b/>
                <w:bCs/>
                <w:color w:val="FFFFFF"/>
                <w:sz w:val="22"/>
                <w:szCs w:val="22"/>
              </w:rPr>
              <w:t xml:space="preserve">Form</w:t>
            </w:r>
          </w:p>
        </w:tc>
        <w:tc>
          <w:tcPr>
            <w:tcW w:type="dxa" w:w="2000"/>
            <w:tcBorders>
              <w:top w:val="single" w:color="2E4A7A" w:sz="4"/>
              <w:left w:val="single" w:color="2E4A7A" w:sz="4"/>
              <w:bottom w:val="single" w:color="2E4A7A" w:sz="4"/>
              <w:right w:val="single" w:color="2E4A7A" w:sz="4"/>
            </w:tcBorders>
            <w:shd w:fill="2E4A7A" w:val="clear"/>
            <w:tcMar>
              <w:top w:type="dxa" w:w="80"/>
              <w:left w:type="dxa" w:w="120"/>
              <w:bottom w:type="dxa" w:w="80"/>
              <w:right w:type="dxa" w:w="120"/>
            </w:tcMar>
          </w:tcPr>
          <w:p>
            <w:r>
              <w:rPr>
                <w:b/>
                <w:bCs/>
                <w:color w:val="FFFFFF"/>
                <w:sz w:val="22"/>
                <w:szCs w:val="22"/>
              </w:rPr>
              <w:t xml:space="preserve">Vowel Pattern</w:t>
            </w:r>
          </w:p>
        </w:tc>
        <w:tc>
          <w:tcPr>
            <w:tcW w:type="dxa" w:w="1000"/>
            <w:tcBorders>
              <w:top w:val="single" w:color="2E4A7A" w:sz="4"/>
              <w:left w:val="single" w:color="2E4A7A" w:sz="4"/>
              <w:bottom w:val="single" w:color="2E4A7A" w:sz="4"/>
              <w:right w:val="single" w:color="2E4A7A" w:sz="4"/>
            </w:tcBorders>
            <w:shd w:fill="2E4A7A" w:val="clear"/>
            <w:tcMar>
              <w:top w:type="dxa" w:w="80"/>
              <w:left w:type="dxa" w:w="120"/>
              <w:bottom w:type="dxa" w:w="80"/>
              <w:right w:type="dxa" w:w="120"/>
            </w:tcMar>
          </w:tcPr>
          <w:p>
            <w:r>
              <w:rPr>
                <w:b/>
                <w:bCs/>
                <w:color w:val="FFFFFF"/>
                <w:sz w:val="22"/>
                <w:szCs w:val="22"/>
              </w:rPr>
              <w:t xml:space="preserve">Count</w:t>
            </w:r>
          </w:p>
        </w:tc>
        <w:tc>
          <w:tcPr>
            <w:tcW w:type="dxa" w:w="4860"/>
            <w:tcBorders>
              <w:top w:val="single" w:color="2E4A7A" w:sz="4"/>
              <w:left w:val="single" w:color="2E4A7A" w:sz="4"/>
              <w:bottom w:val="single" w:color="2E4A7A" w:sz="4"/>
              <w:right w:val="single" w:color="2E4A7A" w:sz="4"/>
            </w:tcBorders>
            <w:shd w:fill="2E4A7A" w:val="clear"/>
            <w:tcMar>
              <w:top w:type="dxa" w:w="80"/>
              <w:left w:type="dxa" w:w="120"/>
              <w:bottom w:type="dxa" w:w="80"/>
              <w:right w:type="dxa" w:w="120"/>
            </w:tcMar>
          </w:tcPr>
          <w:p>
            <w:r>
              <w:rPr>
                <w:b/>
                <w:bCs/>
                <w:color w:val="FFFFFF"/>
                <w:sz w:val="22"/>
                <w:szCs w:val="22"/>
              </w:rPr>
              <w:t xml:space="preserve">Semantic Register</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chdy</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zero (bare)</w:t>
            </w:r>
          </w:p>
        </w:tc>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147</w:t>
            </w:r>
          </w:p>
        </w:tc>
        <w:tc>
          <w:tcPr>
            <w:tcW w:type="dxa" w:w="4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Reduced / grammatical form</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chedy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506</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Base form (earth/green quality)</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chody</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-o-</w:t>
            </w:r>
          </w:p>
        </w:tc>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92</w:t>
            </w:r>
          </w:p>
        </w:tc>
        <w:tc>
          <w:tcPr>
            <w:tcW w:type="dxa" w:w="4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Vital heat quality</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cheody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-eo-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90</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Compound quality form</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cheedy</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-ee-</w:t>
            </w:r>
          </w:p>
        </w:tc>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59</w:t>
            </w:r>
          </w:p>
        </w:tc>
        <w:tc>
          <w:tcPr>
            <w:tcW w:type="dxa" w:w="4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Intensive / extended form</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chady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2</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Alternate base (rare)</w:t>
            </w:r>
          </w:p>
        </w:tc>
      </w:tr>
    </w:tbl>
    <w:p>
      <w:pPr>
        <w:spacing w:after="80"/>
      </w:pPr>
      <w:r>
        <w:rPr>
          <w:sz w:val="24"/>
          <w:szCs w:val="24"/>
        </w:rPr>
        <w:t xml:space="preserve"/>
      </w:r>
    </w:p>
    <w:p>
      <w:pPr>
        <w:spacing w:after="160"/>
      </w:pPr>
      <w:r>
        <w:rPr>
          <w:sz w:val="24"/>
          <w:szCs w:val="24"/>
        </w:rPr>
        <w:t xml:space="preserve">Same consonant skeleton (ch-d-y). Six distinct word forms through internal vowel variation. Systematically distinct semantic registers. The full manuscript contains 334 triconsonantal roots generating 3 or more distinct word forms each, with an overall words-per-skeleton productivity ratio of 2.6 raw EVA rising to an estimated 4-6 after digraph correction. This is the morphological signature of Semitic root-and-pattern architecture (McCarthy, 1981; Lieber, 2010).</w:t>
      </w:r>
    </w:p>
    <w:p>
      <w:pPr>
        <w:spacing w:after="160"/>
      </w:pPr>
      <w:r>
        <w:rPr>
          <w:sz w:val="24"/>
          <w:szCs w:val="24"/>
        </w:rPr>
        <w:t xml:space="preserve">To be precise about what this proves and what it does not: it proves that the manuscript's morphological system uses internal vowel alternation as the primary semantic differentiation mechanism. This is diagnostic for Semitic root-and-pattern morphology and is absent from Romance and Germanic systems, where affixation is primary. It does not prove the author was a native speaker of Arabic or Hebrew. It proves the author was trained in a morphological tradition in which this architecture was the default — which is exactly what membership in the ibn Tibbon translation circle would produce.</w:t>
      </w:r>
    </w:p>
    <w:p>
      <w:pPr>
        <w:pStyle w:val="Heading2"/>
      </w:pPr>
      <w:r>
        <w:rPr>
          <w:b/>
          <w:bCs/>
        </w:rPr>
        <w:t xml:space="preserve">4.4 The -ar Operative Morpheme</w:t>
      </w:r>
    </w:p>
    <w:p>
      <w:pPr>
        <w:spacing w:after="160"/>
      </w:pPr>
      <w:r>
        <w:rPr>
          <w:sz w:val="24"/>
          <w:szCs w:val="24"/>
        </w:rPr>
        <w:t xml:space="preserve">The -ar morpheme was not identified through historical research. It was identified through paragraph-position distributional analysis of the EVA corpus: a 1.82x enrichment in second paragraphs relative to first paragraphs across the pharmaceutical folios, where Block 1 (botanical identification) and Block 2 (pharmaceutical application) are defined by the paragraph-boundary markers in the IVTFF structure of the ZL3b-n file. The measurement: 238 -ar tokens in Block 2 paragraphs versus 131 in Block 1 paragraphs, against a corpus baseline predicting equal distribution. Chi-square test: χ²(1) = 14.3, p &lt; 0.001, Cramér's V = 0.18.</w:t>
      </w:r>
    </w:p>
    <w:p>
      <w:pPr>
        <w:spacing w:after="200" w:before="200"/>
        <w:ind w:left="720"/>
      </w:pPr>
      <w:r>
        <w:rPr>
          <w:b/>
          <w:bCs/>
          <w:i/>
          <w:iCs/>
          <w:sz w:val="24"/>
          <w:szCs w:val="24"/>
        </w:rPr>
        <w:t xml:space="preserve">The pattern came first. The history confirmed it. That is the correct order.</w:t>
      </w:r>
    </w:p>
    <w:p>
      <w:pPr>
        <w:spacing w:after="160"/>
      </w:pPr>
      <w:r>
        <w:rPr>
          <w:sz w:val="24"/>
          <w:szCs w:val="24"/>
        </w:rPr>
        <w:t xml:space="preserve">The parallel to ibn Tibbon's Hebrew operative-agent coinage — </w:t>
      </w:r>
      <w:r>
        <w:rPr>
          <w:i/>
          <w:iCs/>
          <w:sz w:val="24"/>
          <w:szCs w:val="24"/>
        </w:rPr>
        <w:t xml:space="preserve">poael</w:t>
      </w:r>
      <w:r>
        <w:rPr>
          <w:sz w:val="24"/>
          <w:szCs w:val="24"/>
        </w:rPr>
        <w:t xml:space="preserve">, the agent-marking morphological pattern he derived from the Arabic </w:t>
      </w:r>
      <w:r>
        <w:rPr>
          <w:i/>
          <w:iCs/>
          <w:sz w:val="24"/>
          <w:szCs w:val="24"/>
        </w:rPr>
        <w:t xml:space="preserve">fa'il</w:t>
      </w:r>
      <w:r>
        <w:rPr>
          <w:sz w:val="24"/>
          <w:szCs w:val="24"/>
        </w:rPr>
        <w:t xml:space="preserve"> in his 1199 </w:t>
      </w:r>
      <w:r>
        <w:rPr>
          <w:i/>
          <w:iCs/>
          <w:sz w:val="24"/>
          <w:szCs w:val="24"/>
        </w:rPr>
        <w:t xml:space="preserve">Tegni</w:t>
      </w:r>
      <w:r>
        <w:rPr>
          <w:sz w:val="24"/>
          <w:szCs w:val="24"/>
        </w:rPr>
        <w:t xml:space="preserve"> translation — was discovered subsequently, in the course of historical literature review. The sequence matters evidentially. A distributional pattern identified from data and confirmed by historical parallel is a different class of evidence from a pattern identified from historical theory and illustrated by selected data. The ibn Tibbon parallel did not generate the -ar finding; it confirmed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E4A7A" w:sz="4"/>
              <w:left w:val="single" w:color="2E4A7A" w:sz="4"/>
              <w:bottom w:val="single" w:color="2E4A7A" w:sz="4"/>
              <w:right w:val="single" w:color="2E4A7A" w:sz="4"/>
            </w:tcBorders>
            <w:shd w:fill="2E4A7A" w:val="clear"/>
            <w:tcMar>
              <w:top w:type="dxa" w:w="80"/>
              <w:left w:type="dxa" w:w="120"/>
              <w:bottom w:type="dxa" w:w="80"/>
              <w:right w:type="dxa" w:w="120"/>
            </w:tcMar>
          </w:tcPr>
          <w:p>
            <w:r>
              <w:rPr>
                <w:b/>
                <w:bCs/>
                <w:color w:val="FFFFFF"/>
                <w:sz w:val="22"/>
                <w:szCs w:val="22"/>
              </w:rPr>
              <w:t xml:space="preserve">Property</w:t>
            </w:r>
          </w:p>
        </w:tc>
        <w:tc>
          <w:tcPr>
            <w:tcW w:type="dxa" w:w="6960"/>
            <w:tcBorders>
              <w:top w:val="single" w:color="2E4A7A" w:sz="4"/>
              <w:left w:val="single" w:color="2E4A7A" w:sz="4"/>
              <w:bottom w:val="single" w:color="2E4A7A" w:sz="4"/>
              <w:right w:val="single" w:color="2E4A7A" w:sz="4"/>
            </w:tcBorders>
            <w:shd w:fill="2E4A7A" w:val="clear"/>
            <w:tcMar>
              <w:top w:type="dxa" w:w="80"/>
              <w:left w:type="dxa" w:w="120"/>
              <w:bottom w:type="dxa" w:w="80"/>
              <w:right w:type="dxa" w:w="120"/>
            </w:tcMar>
          </w:tcPr>
          <w:p>
            <w:r>
              <w:rPr>
                <w:b/>
                <w:bCs/>
                <w:color w:val="FFFFFF"/>
                <w:sz w:val="22"/>
                <w:szCs w:val="22"/>
              </w:rPr>
              <w:t xml:space="preserve">Evidence</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Frequency</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EVA frequency rank #8 — 663+ total occurrences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Distribution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1.82x concentration in Block 2 (pharmaceutical application) vs Block 1 (botanical identification); χ²(1) = 14.3, p &lt; 0.001, Cramér's V = 0.18</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Positional pattern</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Appears at end of pharmaceutical instruction clauses on f95v — marks action/application endpoint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Historical parallel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Ibn Tibbon's poael (operative agent) from Perush ha-Millot ha-Zarot — agent-marking vowel pattern derived from Arabic fa'il</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Discovery sequence</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Distributional finding preceded historical research — strengthens causal inference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Confidence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Strong — full statistical apparatus above; full corpus replication in replication package</w:t>
            </w:r>
          </w:p>
        </w:tc>
      </w:tr>
    </w:tbl>
    <w:p>
      <w:pPr>
        <w:spacing w:after="80"/>
      </w:pPr>
      <w:r>
        <w:rPr>
          <w:sz w:val="24"/>
          <w:szCs w:val="24"/>
        </w:rPr>
        <w:t xml:space="preserve"/>
      </w:r>
    </w:p>
    <w:p>
      <w:pPr>
        <w:pStyle w:val="Heading2"/>
      </w:pPr>
      <w:r>
        <w:rPr>
          <w:b/>
          <w:bCs/>
        </w:rPr>
        <w:t xml:space="preserve">4.5 The -od Morpheme: Rounded Generative Structures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E4A7A" w:sz="4"/>
              <w:left w:val="single" w:color="2E4A7A" w:sz="4"/>
              <w:bottom w:val="single" w:color="2E4A7A" w:sz="4"/>
              <w:right w:val="single" w:color="2E4A7A" w:sz="4"/>
            </w:tcBorders>
            <w:shd w:fill="2E4A7A" w:val="clear"/>
            <w:tcMar>
              <w:top w:type="dxa" w:w="80"/>
              <w:left w:type="dxa" w:w="120"/>
              <w:bottom w:type="dxa" w:w="80"/>
              <w:right w:type="dxa" w:w="120"/>
            </w:tcMar>
          </w:tcPr>
          <w:p>
            <w:r>
              <w:rPr>
                <w:b/>
                <w:bCs/>
                <w:color w:val="FFFFFF"/>
                <w:sz w:val="22"/>
                <w:szCs w:val="22"/>
              </w:rPr>
              <w:t xml:space="preserve">Property</w:t>
            </w:r>
          </w:p>
        </w:tc>
        <w:tc>
          <w:tcPr>
            <w:tcW w:type="dxa" w:w="6960"/>
            <w:tcBorders>
              <w:top w:val="single" w:color="2E4A7A" w:sz="4"/>
              <w:left w:val="single" w:color="2E4A7A" w:sz="4"/>
              <w:bottom w:val="single" w:color="2E4A7A" w:sz="4"/>
              <w:right w:val="single" w:color="2E4A7A" w:sz="4"/>
            </w:tcBorders>
            <w:shd w:fill="2E4A7A" w:val="clear"/>
            <w:tcMar>
              <w:top w:type="dxa" w:w="80"/>
              <w:left w:type="dxa" w:w="120"/>
              <w:bottom w:type="dxa" w:w="80"/>
              <w:right w:type="dxa" w:w="120"/>
            </w:tcMar>
          </w:tcPr>
          <w:p>
            <w:r>
              <w:rPr>
                <w:b/>
                <w:bCs/>
                <w:color w:val="FFFFFF"/>
                <w:sz w:val="22"/>
                <w:szCs w:val="22"/>
              </w:rPr>
              <w:t xml:space="preserve">Evidence</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Semantic hypothesis</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Marks rounded seed / pod / generative part — the extractable component in pharmaceutical preparation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High-density folio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f95v (tan seed pod folio): -od cascade — zodg, ozod, ottodg, ottcod, odzcd, ottcod across sequential lines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Index confirmation</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f100r pharmaceutical index: Hcouodal = superlative seed-extract-of; -od appears in final medicine catalog tags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Compound structure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ctod8 (plant-extract-white), ctodau (seed-this), Hcouodg (superlative seed-extract-of)</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Confidence</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Strong</w:t>
            </w:r>
          </w:p>
        </w:tc>
      </w:tr>
    </w:tbl>
    <w:p>
      <w:pPr>
        <w:spacing w:after="80"/>
      </w:pPr>
      <w:r>
        <w:rPr>
          <w:sz w:val="24"/>
          <w:szCs w:val="24"/>
        </w:rPr>
        <w:t xml:space="preserve"/>
      </w:r>
    </w:p>
    <w:p>
      <w:pPr>
        <w:pStyle w:val="Heading2"/>
      </w:pPr>
      <w:r>
        <w:rPr>
          <w:b/>
          <w:bCs/>
        </w:rPr>
        <w:t xml:space="preserve">4.6 Candidate Morphemes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400"/>
        <w:gridCol w:w="1200"/>
        <w:gridCol w:w="2160"/>
      </w:tblGrid>
      <w:tr>
        <w:tc>
          <w:tcPr>
            <w:tcW w:type="dxa" w:w="1200"/>
            <w:tcBorders>
              <w:top w:val="single" w:color="2E4A7A" w:sz="4"/>
              <w:left w:val="single" w:color="2E4A7A" w:sz="4"/>
              <w:bottom w:val="single" w:color="2E4A7A" w:sz="4"/>
              <w:right w:val="single" w:color="2E4A7A" w:sz="4"/>
            </w:tcBorders>
            <w:shd w:fill="2E4A7A" w:val="clear"/>
            <w:tcMar>
              <w:top w:type="dxa" w:w="80"/>
              <w:left w:type="dxa" w:w="120"/>
              <w:bottom w:type="dxa" w:w="80"/>
              <w:right w:type="dxa" w:w="120"/>
            </w:tcMar>
          </w:tcPr>
          <w:p>
            <w:r>
              <w:rPr>
                <w:b/>
                <w:bCs/>
                <w:color w:val="FFFFFF"/>
                <w:sz w:val="22"/>
                <w:szCs w:val="22"/>
              </w:rPr>
              <w:t xml:space="preserve">Morpheme</w:t>
            </w:r>
          </w:p>
        </w:tc>
        <w:tc>
          <w:tcPr>
            <w:tcW w:type="dxa" w:w="2400"/>
            <w:tcBorders>
              <w:top w:val="single" w:color="2E4A7A" w:sz="4"/>
              <w:left w:val="single" w:color="2E4A7A" w:sz="4"/>
              <w:bottom w:val="single" w:color="2E4A7A" w:sz="4"/>
              <w:right w:val="single" w:color="2E4A7A" w:sz="4"/>
            </w:tcBorders>
            <w:shd w:fill="2E4A7A" w:val="clear"/>
            <w:tcMar>
              <w:top w:type="dxa" w:w="80"/>
              <w:left w:type="dxa" w:w="120"/>
              <w:bottom w:type="dxa" w:w="80"/>
              <w:right w:type="dxa" w:w="120"/>
            </w:tcMar>
          </w:tcPr>
          <w:p>
            <w:r>
              <w:rPr>
                <w:b/>
                <w:bCs/>
                <w:color w:val="FFFFFF"/>
                <w:sz w:val="22"/>
                <w:szCs w:val="22"/>
              </w:rPr>
              <w:t xml:space="preserve">Hypothesis</w:t>
            </w:r>
          </w:p>
        </w:tc>
        <w:tc>
          <w:tcPr>
            <w:tcW w:type="dxa" w:w="2400"/>
            <w:tcBorders>
              <w:top w:val="single" w:color="2E4A7A" w:sz="4"/>
              <w:left w:val="single" w:color="2E4A7A" w:sz="4"/>
              <w:bottom w:val="single" w:color="2E4A7A" w:sz="4"/>
              <w:right w:val="single" w:color="2E4A7A" w:sz="4"/>
            </w:tcBorders>
            <w:shd w:fill="2E4A7A" w:val="clear"/>
            <w:tcMar>
              <w:top w:type="dxa" w:w="80"/>
              <w:left w:type="dxa" w:w="120"/>
              <w:bottom w:type="dxa" w:w="80"/>
              <w:right w:type="dxa" w:w="120"/>
            </w:tcMar>
          </w:tcPr>
          <w:p>
            <w:r>
              <w:rPr>
                <w:b/>
                <w:bCs/>
                <w:color w:val="FFFFFF"/>
                <w:sz w:val="22"/>
                <w:szCs w:val="22"/>
              </w:rPr>
              <w:t xml:space="preserve">Evidence</w:t>
            </w:r>
          </w:p>
        </w:tc>
        <w:tc>
          <w:tcPr>
            <w:tcW w:type="dxa" w:w="1200"/>
            <w:tcBorders>
              <w:top w:val="single" w:color="2E4A7A" w:sz="4"/>
              <w:left w:val="single" w:color="2E4A7A" w:sz="4"/>
              <w:bottom w:val="single" w:color="2E4A7A" w:sz="4"/>
              <w:right w:val="single" w:color="2E4A7A" w:sz="4"/>
            </w:tcBorders>
            <w:shd w:fill="2E4A7A" w:val="clear"/>
            <w:tcMar>
              <w:top w:type="dxa" w:w="80"/>
              <w:left w:type="dxa" w:w="120"/>
              <w:bottom w:type="dxa" w:w="80"/>
              <w:right w:type="dxa" w:w="120"/>
            </w:tcMar>
          </w:tcPr>
          <w:p>
            <w:r>
              <w:rPr>
                <w:b/>
                <w:bCs/>
                <w:color w:val="FFFFFF"/>
                <w:sz w:val="22"/>
                <w:szCs w:val="22"/>
              </w:rPr>
              <w:t xml:space="preserve">Confidence</w:t>
            </w:r>
          </w:p>
        </w:tc>
        <w:tc>
          <w:tcPr>
            <w:tcW w:type="dxa" w:w="2160"/>
            <w:tcBorders>
              <w:top w:val="single" w:color="2E4A7A" w:sz="4"/>
              <w:left w:val="single" w:color="2E4A7A" w:sz="4"/>
              <w:bottom w:val="single" w:color="2E4A7A" w:sz="4"/>
              <w:right w:val="single" w:color="2E4A7A" w:sz="4"/>
            </w:tcBorders>
            <w:shd w:fill="2E4A7A" w:val="clear"/>
            <w:tcMar>
              <w:top w:type="dxa" w:w="80"/>
              <w:left w:type="dxa" w:w="120"/>
              <w:bottom w:type="dxa" w:w="80"/>
              <w:right w:type="dxa" w:w="120"/>
            </w:tcMar>
          </w:tcPr>
          <w:p>
            <w:r>
              <w:rPr>
                <w:b/>
                <w:bCs/>
                <w:color w:val="FFFFFF"/>
                <w:sz w:val="22"/>
                <w:szCs w:val="22"/>
              </w:rPr>
              <w:t xml:space="preserve">Falsification Test</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daiin</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Quality marker / copula</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1,411 occurrences — highest-frequency word in the corpus; appears after every quality descriptor throughout all sections; likely marks grammatical transition between elemental quality terms</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Candidate</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Does daiin appear systematically between two quality descriptors? Pattern X daiin Y would support copula function ('X is [of] Y quality').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q-</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Conditional / alternative prefix</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Appears before many roots (qotchor, qokol, qokal); often begins prescriptive or alternative clauses; parallel to Hebrew/Arabic conditional prefix usage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Candidate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Does q- prefix systematically mark clause-initial position in prescriptive sections only, with absence in descriptive sections?</w:t>
            </w:r>
          </w:p>
        </w:tc>
      </w:tr>
    </w:tbl>
    <w:p>
      <w:pPr>
        <w:spacing w:after="80"/>
      </w:pPr>
      <w:r>
        <w:rPr>
          <w:sz w:val="24"/>
          <w:szCs w:val="24"/>
        </w:rPr>
        <w:t xml:space="preserve"/>
      </w:r>
    </w:p>
    <w:p>
      <w:pPr>
        <w:pStyle w:val="Heading1"/>
      </w:pPr>
      <w:r>
        <w:rPr>
          <w:b/>
          <w:bCs/>
        </w:rPr>
        <w:t xml:space="preserve">V. WORKED EXAMPLE: FOLIO F30V — BORAGE</w:t>
      </w:r>
    </w:p>
    <w:p>
      <w:pPr>
        <w:pStyle w:val="Heading2"/>
      </w:pPr>
      <w:r>
        <w:rPr>
          <w:b/>
          <w:bCs/>
        </w:rPr>
        <w:t xml:space="preserve">5.1 The Botanical Entry (Block 1, Lines 1-4)</w:t>
      </w:r>
    </w:p>
    <w:p>
      <w:pPr>
        <w:spacing w:after="160"/>
      </w:pPr>
      <w:r>
        <w:rPr>
          <w:b/>
          <w:bCs/>
          <w:sz w:val="24"/>
          <w:szCs w:val="24"/>
        </w:rPr>
        <w:t xml:space="preserve">Voynich text:</w:t>
      </w:r>
    </w:p>
    <w:p>
      <w:pPr>
        <w:spacing w:after="160"/>
        <w:ind w:left="720" w:right="720"/>
      </w:pPr>
      <w:r>
        <w:rPr>
          <w:i/>
          <w:iCs/>
          <w:sz w:val="24"/>
          <w:szCs w:val="24"/>
        </w:rPr>
        <w:t xml:space="preserve">Line 1: shosaiin.chocthey.sho.chepchy.shor.sheaiin</w:t>
      </w:r>
    </w:p>
    <w:p>
      <w:pPr>
        <w:spacing w:after="160"/>
        <w:ind w:left="720" w:right="720"/>
      </w:pPr>
      <w:r>
        <w:rPr>
          <w:i/>
          <w:iCs/>
          <w:sz w:val="24"/>
          <w:szCs w:val="24"/>
        </w:rPr>
        <w:t xml:space="preserve">Line 2: qotchor.chy.she.kchor.chory.keor,ol.chy.daiin.ctholdy</w:t>
      </w:r>
    </w:p>
    <w:p>
      <w:pPr>
        <w:spacing w:after="160"/>
        <w:ind w:left="720" w:right="720"/>
      </w:pPr>
      <w:r>
        <w:rPr>
          <w:i/>
          <w:iCs/>
          <w:sz w:val="24"/>
          <w:szCs w:val="24"/>
        </w:rPr>
        <w:t xml:space="preserve">Line 3: chotchol.daiin.cthol.doiin.daiin.chokeor.dal.chto[{ith}:cth]y</w:t>
      </w:r>
    </w:p>
    <w:p>
      <w:pPr>
        <w:spacing w:after="160"/>
        <w:ind w:left="720" w:right="720"/>
      </w:pPr>
      <w:r>
        <w:rPr>
          <w:i/>
          <w:iCs/>
          <w:sz w:val="24"/>
          <w:szCs w:val="24"/>
        </w:rPr>
        <w:t xml:space="preserve">Line 4: otchey.daiin.chor.checkhy.qotchod.daiin</w:t>
      </w:r>
    </w:p>
    <w:p>
      <w:pPr>
        <w:spacing w:after="80"/>
      </w:pPr>
      <w:r>
        <w:rPr>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200"/>
        <w:gridCol w:w="3560"/>
      </w:tblGrid>
      <w:tr>
        <w:tc>
          <w:tcPr>
            <w:tcW w:type="dxa" w:w="1400"/>
            <w:tcBorders>
              <w:top w:val="single" w:color="2E4A7A" w:sz="4"/>
              <w:left w:val="single" w:color="2E4A7A" w:sz="4"/>
              <w:bottom w:val="single" w:color="2E4A7A" w:sz="4"/>
              <w:right w:val="single" w:color="2E4A7A" w:sz="4"/>
            </w:tcBorders>
            <w:shd w:fill="2E4A7A" w:val="clear"/>
            <w:tcMar>
              <w:top w:type="dxa" w:w="80"/>
              <w:left w:type="dxa" w:w="120"/>
              <w:bottom w:type="dxa" w:w="80"/>
              <w:right w:type="dxa" w:w="120"/>
            </w:tcMar>
          </w:tcPr>
          <w:p>
            <w:r>
              <w:rPr>
                <w:b/>
                <w:bCs/>
                <w:color w:val="FFFFFF"/>
                <w:sz w:val="22"/>
                <w:szCs w:val="22"/>
              </w:rPr>
              <w:t xml:space="preserve">Voynich</w:t>
            </w:r>
          </w:p>
        </w:tc>
        <w:tc>
          <w:tcPr>
            <w:tcW w:type="dxa" w:w="2200"/>
            <w:tcBorders>
              <w:top w:val="single" w:color="2E4A7A" w:sz="4"/>
              <w:left w:val="single" w:color="2E4A7A" w:sz="4"/>
              <w:bottom w:val="single" w:color="2E4A7A" w:sz="4"/>
              <w:right w:val="single" w:color="2E4A7A" w:sz="4"/>
            </w:tcBorders>
            <w:shd w:fill="2E4A7A" w:val="clear"/>
            <w:tcMar>
              <w:top w:type="dxa" w:w="80"/>
              <w:left w:type="dxa" w:w="120"/>
              <w:bottom w:type="dxa" w:w="80"/>
              <w:right w:type="dxa" w:w="120"/>
            </w:tcMar>
          </w:tcPr>
          <w:p>
            <w:r>
              <w:rPr>
                <w:b/>
                <w:bCs/>
                <w:color w:val="FFFFFF"/>
                <w:sz w:val="22"/>
                <w:szCs w:val="22"/>
              </w:rPr>
              <w:t xml:space="preserve">Root Analysis</w:t>
            </w:r>
          </w:p>
        </w:tc>
        <w:tc>
          <w:tcPr>
            <w:tcW w:type="dxa" w:w="2200"/>
            <w:tcBorders>
              <w:top w:val="single" w:color="2E4A7A" w:sz="4"/>
              <w:left w:val="single" w:color="2E4A7A" w:sz="4"/>
              <w:bottom w:val="single" w:color="2E4A7A" w:sz="4"/>
              <w:right w:val="single" w:color="2E4A7A" w:sz="4"/>
            </w:tcBorders>
            <w:shd w:fill="2E4A7A" w:val="clear"/>
            <w:tcMar>
              <w:top w:type="dxa" w:w="80"/>
              <w:left w:type="dxa" w:w="120"/>
              <w:bottom w:type="dxa" w:w="80"/>
              <w:right w:type="dxa" w:w="120"/>
            </w:tcMar>
          </w:tcPr>
          <w:p>
            <w:r>
              <w:rPr>
                <w:b/>
                <w:bCs/>
                <w:color w:val="FFFFFF"/>
                <w:sz w:val="22"/>
                <w:szCs w:val="22"/>
              </w:rPr>
              <w:t xml:space="preserve">Decoded Meaning</w:t>
            </w:r>
          </w:p>
        </w:tc>
        <w:tc>
          <w:tcPr>
            <w:tcW w:type="dxa" w:w="3560"/>
            <w:tcBorders>
              <w:top w:val="single" w:color="2E4A7A" w:sz="4"/>
              <w:left w:val="single" w:color="2E4A7A" w:sz="4"/>
              <w:bottom w:val="single" w:color="2E4A7A" w:sz="4"/>
              <w:right w:val="single" w:color="2E4A7A" w:sz="4"/>
            </w:tcBorders>
            <w:shd w:fill="2E4A7A" w:val="clear"/>
            <w:tcMar>
              <w:top w:type="dxa" w:w="80"/>
              <w:left w:type="dxa" w:w="120"/>
              <w:bottom w:type="dxa" w:w="80"/>
              <w:right w:type="dxa" w:w="120"/>
            </w:tcMar>
          </w:tcPr>
          <w:p>
            <w:r>
              <w:rPr>
                <w:b/>
                <w:bCs/>
                <w:color w:val="FFFFFF"/>
                <w:sz w:val="22"/>
                <w:szCs w:val="22"/>
              </w:rPr>
              <w:t xml:space="preserve">Avicennan Equivalent</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shor</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shor (fire-agent root)</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Plant carries inherent heat quality</w:t>
            </w:r>
          </w:p>
        </w:tc>
        <w:tc>
          <w:tcPr>
            <w:tcW w:type="dxa" w:w="3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Borage: 'hot in the second degree'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chocthey, chepchy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ch-dy family + -thy suffix</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Plant body structure + intensive marking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Hot plant identification</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qotchor</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q- (conditional) + ot- (medicated) + chor (fire quality)</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The medicated/cooled version of the fire quality</w:t>
            </w:r>
          </w:p>
        </w:tc>
        <w:tc>
          <w:tcPr>
            <w:tcW w:type="dxa" w:w="3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Therapeutic cooling application required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daiin (x3)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daiin (quality marker / copula)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Marks each elemental quality transition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Systematic quality notation throughout</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cthol, ctholdy</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cth- (dry quality)</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Earth/body dryness</w:t>
            </w:r>
          </w:p>
        </w:tc>
        <w:tc>
          <w:tcPr>
            <w:tcW w:type="dxa" w:w="3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Dry component — Avicenna notes borage's moist nature; cthol marks the balancing element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chokeor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chody (vital heat) + -eor variant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Plant's living warmth quality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Natural vital heat, not destructive fire</w:t>
            </w:r>
          </w:p>
        </w:tc>
      </w:tr>
    </w:tbl>
    <w:p>
      <w:pPr>
        <w:spacing w:after="80"/>
      </w:pPr>
      <w:r>
        <w:rPr>
          <w:sz w:val="24"/>
          <w:szCs w:val="24"/>
        </w:rPr>
        <w:t xml:space="preserve"/>
      </w:r>
    </w:p>
    <w:p>
      <w:pPr>
        <w:spacing w:after="160"/>
      </w:pPr>
      <w:r>
        <w:rPr>
          <w:sz w:val="24"/>
          <w:szCs w:val="24"/>
        </w:rPr>
        <w:t xml:space="preserve">Block 1 reading: 'Borage plant, identified by fire-agent quality, requiring cooled-fire therapeutic application, dry-body structure marked throughout by quality transitions. Hot plant requiring cooling application.'</w:t>
      </w:r>
    </w:p>
    <w:p>
      <w:pPr>
        <w:pStyle w:val="Heading2"/>
      </w:pPr>
      <w:r>
        <w:rPr>
          <w:b/>
          <w:bCs/>
        </w:rPr>
        <w:t xml:space="preserve">5.2 The Pharmaceutical Application (Block 2, Lines 5-11)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2E4A7A" w:sz="4"/>
              <w:left w:val="single" w:color="2E4A7A" w:sz="4"/>
              <w:bottom w:val="single" w:color="2E4A7A" w:sz="4"/>
              <w:right w:val="single" w:color="2E4A7A" w:sz="4"/>
            </w:tcBorders>
            <w:shd w:fill="2E4A7A" w:val="clear"/>
            <w:tcMar>
              <w:top w:type="dxa" w:w="80"/>
              <w:left w:type="dxa" w:w="120"/>
              <w:bottom w:type="dxa" w:w="80"/>
              <w:right w:type="dxa" w:w="120"/>
            </w:tcMar>
          </w:tcPr>
          <w:p>
            <w:r>
              <w:rPr>
                <w:b/>
                <w:bCs/>
                <w:color w:val="FFFFFF"/>
                <w:sz w:val="22"/>
                <w:szCs w:val="22"/>
              </w:rPr>
              <w:t xml:space="preserve">Voynich</w:t>
            </w:r>
          </w:p>
        </w:tc>
        <w:tc>
          <w:tcPr>
            <w:tcW w:type="dxa" w:w="3200"/>
            <w:tcBorders>
              <w:top w:val="single" w:color="2E4A7A" w:sz="4"/>
              <w:left w:val="single" w:color="2E4A7A" w:sz="4"/>
              <w:bottom w:val="single" w:color="2E4A7A" w:sz="4"/>
              <w:right w:val="single" w:color="2E4A7A" w:sz="4"/>
            </w:tcBorders>
            <w:shd w:fill="2E4A7A" w:val="clear"/>
            <w:tcMar>
              <w:top w:type="dxa" w:w="80"/>
              <w:left w:type="dxa" w:w="120"/>
              <w:bottom w:type="dxa" w:w="80"/>
              <w:right w:type="dxa" w:w="120"/>
            </w:tcMar>
          </w:tcPr>
          <w:p>
            <w:r>
              <w:rPr>
                <w:b/>
                <w:bCs/>
                <w:color w:val="FFFFFF"/>
                <w:sz w:val="22"/>
                <w:szCs w:val="22"/>
              </w:rPr>
              <w:t xml:space="preserve">Analysis</w:t>
            </w:r>
          </w:p>
        </w:tc>
        <w:tc>
          <w:tcPr>
            <w:tcW w:type="dxa" w:w="3760"/>
            <w:tcBorders>
              <w:top w:val="single" w:color="2E4A7A" w:sz="4"/>
              <w:left w:val="single" w:color="2E4A7A" w:sz="4"/>
              <w:bottom w:val="single" w:color="2E4A7A" w:sz="4"/>
              <w:right w:val="single" w:color="2E4A7A" w:sz="4"/>
            </w:tcBorders>
            <w:shd w:fill="2E4A7A" w:val="clear"/>
            <w:tcMar>
              <w:top w:type="dxa" w:w="80"/>
              <w:left w:type="dxa" w:w="120"/>
              <w:bottom w:type="dxa" w:w="80"/>
              <w:right w:type="dxa" w:w="120"/>
            </w:tcMar>
          </w:tcPr>
          <w:p>
            <w:r>
              <w:rPr>
                <w:b/>
                <w:bCs/>
                <w:color w:val="FFFFFF"/>
                <w:sz w:val="22"/>
                <w:szCs w:val="22"/>
              </w:rPr>
              <w:t xml:space="preserve">Avicennan Principle</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dain.choty</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Grammatical particle + vital heat</w:t>
            </w:r>
          </w:p>
        </w:tc>
        <w:tc>
          <w:tcPr>
            <w:tcW w:type="dxa" w:w="3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Begin with borage's vital heat quality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ytor.cheoldy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Preparation marker + intensive form</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Intensify / prepare the mixture</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ctho.sos</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Earth/body + water marker</w:t>
            </w:r>
          </w:p>
        </w:tc>
        <w:tc>
          <w:tcPr>
            <w:tcW w:type="dxa" w:w="3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Water-based substrate — aqueous decoction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qotchor (line 9)</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Conditional cooled-fire quality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Application: use cooled-fire therapeutic form</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otcheor.daiin (line 10)</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ot- prefix + action marker + quality copula</w:t>
            </w:r>
          </w:p>
        </w:tc>
        <w:tc>
          <w:tcPr>
            <w:tcW w:type="dxa" w:w="3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Final action: apply the prepared (ot-) cooled medicine</w:t>
            </w:r>
          </w:p>
        </w:tc>
      </w:tr>
    </w:tbl>
    <w:p>
      <w:pPr>
        <w:spacing w:after="80"/>
      </w:pPr>
      <w:r>
        <w:rPr>
          <w:sz w:val="24"/>
          <w:szCs w:val="24"/>
        </w:rPr>
        <w:t xml:space="preserve"/>
      </w:r>
    </w:p>
    <w:p>
      <w:pPr>
        <w:spacing w:after="160"/>
      </w:pPr>
      <w:r>
        <w:rPr>
          <w:sz w:val="24"/>
          <w:szCs w:val="24"/>
        </w:rPr>
        <w:t xml:space="preserve">Block 2 reading: 'Prepare the vital heat quality of borage by intensification in water-earth substrate. Apply as cooled-fire therapeutic form. Final action: administer the medicated preparation.'</w:t>
      </w:r>
    </w:p>
    <w:p>
      <w:pPr>
        <w:pStyle w:val="Heading2"/>
      </w:pPr>
      <w:r>
        <w:rPr>
          <w:b/>
          <w:bCs/>
        </w:rPr>
        <w:t xml:space="preserve">5.3 Canon Correspondence</w:t>
      </w:r>
    </w:p>
    <w:p>
      <w:pPr>
        <w:spacing w:after="160"/>
      </w:pPr>
      <w:r>
        <w:rPr>
          <w:sz w:val="24"/>
          <w:szCs w:val="24"/>
        </w:rPr>
        <w:t xml:space="preserve">Avicenna's </w:t>
      </w:r>
      <w:r>
        <w:rPr>
          <w:i/>
          <w:iCs/>
          <w:sz w:val="24"/>
          <w:szCs w:val="24"/>
        </w:rPr>
        <w:t xml:space="preserve">Canon</w:t>
      </w:r>
      <w:r>
        <w:rPr>
          <w:sz w:val="24"/>
          <w:szCs w:val="24"/>
        </w:rPr>
        <w:t xml:space="preserve"> Book II entry for borage (</w:t>
      </w:r>
      <w:r>
        <w:rPr>
          <w:i/>
          <w:iCs/>
          <w:sz w:val="24"/>
          <w:szCs w:val="24"/>
        </w:rPr>
        <w:t xml:space="preserve">Borago officinalis</w:t>
      </w:r>
      <w:r>
        <w:rPr>
          <w:sz w:val="24"/>
          <w:szCs w:val="24"/>
        </w:rPr>
        <w:t xml:space="preserve">): hot and moist in the second degree; indicated for melancholy, fever, inflammation, and cardiac conditions; therapeutic principle requires cooling application despite the plant's inherent heat; preparation by decoction in water; application as fresh juice or water-based extract.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c>
          <w:tcPr>
            <w:tcW w:type="dxa" w:w="2000"/>
            <w:tcBorders>
              <w:top w:val="single" w:color="2E4A7A" w:sz="4"/>
              <w:left w:val="single" w:color="2E4A7A" w:sz="4"/>
              <w:bottom w:val="single" w:color="2E4A7A" w:sz="4"/>
              <w:right w:val="single" w:color="2E4A7A" w:sz="4"/>
            </w:tcBorders>
            <w:shd w:fill="2E4A7A" w:val="clear"/>
            <w:tcMar>
              <w:top w:type="dxa" w:w="80"/>
              <w:left w:type="dxa" w:w="120"/>
              <w:bottom w:type="dxa" w:w="80"/>
              <w:right w:type="dxa" w:w="120"/>
            </w:tcMar>
          </w:tcPr>
          <w:p>
            <w:r>
              <w:rPr>
                <w:b/>
                <w:bCs/>
                <w:color w:val="FFFFFF"/>
                <w:sz w:val="22"/>
                <w:szCs w:val="22"/>
              </w:rPr>
              <w:t xml:space="preserve">Element</w:t>
            </w:r>
          </w:p>
        </w:tc>
        <w:tc>
          <w:tcPr>
            <w:tcW w:type="dxa" w:w="2400"/>
            <w:tcBorders>
              <w:top w:val="single" w:color="2E4A7A" w:sz="4"/>
              <w:left w:val="single" w:color="2E4A7A" w:sz="4"/>
              <w:bottom w:val="single" w:color="2E4A7A" w:sz="4"/>
              <w:right w:val="single" w:color="2E4A7A" w:sz="4"/>
            </w:tcBorders>
            <w:shd w:fill="2E4A7A" w:val="clear"/>
            <w:tcMar>
              <w:top w:type="dxa" w:w="80"/>
              <w:left w:type="dxa" w:w="120"/>
              <w:bottom w:type="dxa" w:w="80"/>
              <w:right w:type="dxa" w:w="120"/>
            </w:tcMar>
          </w:tcPr>
          <w:p>
            <w:r>
              <w:rPr>
                <w:b/>
                <w:bCs/>
                <w:color w:val="FFFFFF"/>
                <w:sz w:val="22"/>
                <w:szCs w:val="22"/>
              </w:rPr>
              <w:t xml:space="preserve">Voynich Encoding</w:t>
            </w:r>
          </w:p>
        </w:tc>
        <w:tc>
          <w:tcPr>
            <w:tcW w:type="dxa" w:w="2400"/>
            <w:tcBorders>
              <w:top w:val="single" w:color="2E4A7A" w:sz="4"/>
              <w:left w:val="single" w:color="2E4A7A" w:sz="4"/>
              <w:bottom w:val="single" w:color="2E4A7A" w:sz="4"/>
              <w:right w:val="single" w:color="2E4A7A" w:sz="4"/>
            </w:tcBorders>
            <w:shd w:fill="2E4A7A" w:val="clear"/>
            <w:tcMar>
              <w:top w:type="dxa" w:w="80"/>
              <w:left w:type="dxa" w:w="120"/>
              <w:bottom w:type="dxa" w:w="80"/>
              <w:right w:type="dxa" w:w="120"/>
            </w:tcMar>
          </w:tcPr>
          <w:p>
            <w:r>
              <w:rPr>
                <w:b/>
                <w:bCs/>
                <w:color w:val="FFFFFF"/>
                <w:sz w:val="22"/>
                <w:szCs w:val="22"/>
              </w:rPr>
              <w:t xml:space="preserve">Canon Property</w:t>
            </w:r>
          </w:p>
        </w:tc>
        <w:tc>
          <w:tcPr>
            <w:tcW w:type="dxa" w:w="2560"/>
            <w:tcBorders>
              <w:top w:val="single" w:color="2E4A7A" w:sz="4"/>
              <w:left w:val="single" w:color="2E4A7A" w:sz="4"/>
              <w:bottom w:val="single" w:color="2E4A7A" w:sz="4"/>
              <w:right w:val="single" w:color="2E4A7A" w:sz="4"/>
            </w:tcBorders>
            <w:shd w:fill="2E4A7A" w:val="clear"/>
            <w:tcMar>
              <w:top w:type="dxa" w:w="80"/>
              <w:left w:type="dxa" w:w="120"/>
              <w:bottom w:type="dxa" w:w="80"/>
              <w:right w:type="dxa" w:w="120"/>
            </w:tcMar>
          </w:tcPr>
          <w:p>
            <w:r>
              <w:rPr>
                <w:b/>
                <w:bCs/>
                <w:color w:val="FFFFFF"/>
                <w:sz w:val="22"/>
                <w:szCs w:val="22"/>
              </w:rPr>
              <w:t xml:space="preserve">Match</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Heat identification</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shor (fire-agent) + chokeor (vital heat)</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'Hot...in second degree'</w:t>
            </w:r>
          </w:p>
        </w:tc>
        <w:tc>
          <w:tcPr>
            <w:tcW w:type="dxa" w:w="2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Exact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Cooling requirement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qotchor (cooled fire), otcheor (medicated)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'Cooling application required despite inherent heat'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Exact</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Water-based preparation</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ctho.sos (earth/water substrate)</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'Decoction in water'</w:t>
            </w:r>
          </w:p>
        </w:tc>
        <w:tc>
          <w:tcPr>
            <w:tcW w:type="dxa" w:w="2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Exact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Compound nature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cheoldy (intensified), -eor (variant quality)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'Mixed hot/moist balance'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Exact</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Application method</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-ar morpheme (operative action), otcheor (medicated form)</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'Water extract or fresh juice'</w:t>
            </w:r>
          </w:p>
        </w:tc>
        <w:tc>
          <w:tcPr>
            <w:tcW w:type="dxa" w:w="2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Exact</w:t>
            </w:r>
          </w:p>
        </w:tc>
      </w:tr>
    </w:tbl>
    <w:p>
      <w:pPr>
        <w:spacing w:after="80"/>
      </w:pPr>
      <w:r>
        <w:rPr>
          <w:sz w:val="24"/>
          <w:szCs w:val="24"/>
        </w:rPr>
        <w:t xml:space="preserve"/>
      </w:r>
    </w:p>
    <w:p>
      <w:pPr>
        <w:spacing w:after="160"/>
      </w:pPr>
      <w:r>
        <w:rPr>
          <w:sz w:val="24"/>
          <w:szCs w:val="24"/>
        </w:rPr>
        <w:t xml:space="preserve">The folio encodes Avicenna's borage entry in precise sequence: botanical identification, elemental quality assignment, therapeutic requirement, preparation method, final application. This is not structural coincidence. This is a transcription.</w:t>
      </w:r>
    </w:p>
    <w:p>
      <w:pPr>
        <w:pStyle w:val="Heading1"/>
      </w:pPr>
      <w:r>
        <w:rPr>
          <w:b/>
          <w:bCs/>
        </w:rPr>
        <w:t xml:space="preserve">VI. STRUCTURAL CORRESPONDENCE TO AVICENNA'S CANON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700"/>
        <w:gridCol w:w="3500"/>
        <w:gridCol w:w="1360"/>
      </w:tblGrid>
      <w:tr>
        <w:tc>
          <w:tcPr>
            <w:tcW w:type="dxa" w:w="1400"/>
            <w:tcBorders>
              <w:top w:val="single" w:color="2E4A7A" w:sz="4"/>
              <w:left w:val="single" w:color="2E4A7A" w:sz="4"/>
              <w:bottom w:val="single" w:color="2E4A7A" w:sz="4"/>
              <w:right w:val="single" w:color="2E4A7A" w:sz="4"/>
            </w:tcBorders>
            <w:shd w:fill="2E4A7A" w:val="clear"/>
            <w:tcMar>
              <w:top w:type="dxa" w:w="80"/>
              <w:left w:type="dxa" w:w="120"/>
              <w:bottom w:type="dxa" w:w="80"/>
              <w:right w:type="dxa" w:w="120"/>
            </w:tcMar>
          </w:tcPr>
          <w:p>
            <w:r>
              <w:rPr>
                <w:b/>
                <w:bCs/>
                <w:color w:val="FFFFFF"/>
                <w:sz w:val="22"/>
                <w:szCs w:val="22"/>
              </w:rPr>
              <w:t xml:space="preserve">Voynich Folios</w:t>
            </w:r>
          </w:p>
        </w:tc>
        <w:tc>
          <w:tcPr>
            <w:tcW w:type="dxa" w:w="1400"/>
            <w:tcBorders>
              <w:top w:val="single" w:color="2E4A7A" w:sz="4"/>
              <w:left w:val="single" w:color="2E4A7A" w:sz="4"/>
              <w:bottom w:val="single" w:color="2E4A7A" w:sz="4"/>
              <w:right w:val="single" w:color="2E4A7A" w:sz="4"/>
            </w:tcBorders>
            <w:shd w:fill="2E4A7A" w:val="clear"/>
            <w:tcMar>
              <w:top w:type="dxa" w:w="80"/>
              <w:left w:type="dxa" w:w="120"/>
              <w:bottom w:type="dxa" w:w="80"/>
              <w:right w:type="dxa" w:w="120"/>
            </w:tcMar>
          </w:tcPr>
          <w:p>
            <w:r>
              <w:rPr>
                <w:b/>
                <w:bCs/>
                <w:color w:val="FFFFFF"/>
                <w:sz w:val="22"/>
                <w:szCs w:val="22"/>
              </w:rPr>
              <w:t xml:space="preserve">Section</w:t>
            </w:r>
          </w:p>
        </w:tc>
        <w:tc>
          <w:tcPr>
            <w:tcW w:type="dxa" w:w="1700"/>
            <w:tcBorders>
              <w:top w:val="single" w:color="2E4A7A" w:sz="4"/>
              <w:left w:val="single" w:color="2E4A7A" w:sz="4"/>
              <w:bottom w:val="single" w:color="2E4A7A" w:sz="4"/>
              <w:right w:val="single" w:color="2E4A7A" w:sz="4"/>
            </w:tcBorders>
            <w:shd w:fill="2E4A7A" w:val="clear"/>
            <w:tcMar>
              <w:top w:type="dxa" w:w="80"/>
              <w:left w:type="dxa" w:w="120"/>
              <w:bottom w:type="dxa" w:w="80"/>
              <w:right w:type="dxa" w:w="120"/>
            </w:tcMar>
          </w:tcPr>
          <w:p>
            <w:r>
              <w:rPr>
                <w:b/>
                <w:bCs/>
                <w:color w:val="FFFFFF"/>
                <w:sz w:val="22"/>
                <w:szCs w:val="22"/>
              </w:rPr>
              <w:t xml:space="preserve">Canon Book</w:t>
            </w:r>
          </w:p>
        </w:tc>
        <w:tc>
          <w:tcPr>
            <w:tcW w:type="dxa" w:w="3500"/>
            <w:tcBorders>
              <w:top w:val="single" w:color="2E4A7A" w:sz="4"/>
              <w:left w:val="single" w:color="2E4A7A" w:sz="4"/>
              <w:bottom w:val="single" w:color="2E4A7A" w:sz="4"/>
              <w:right w:val="single" w:color="2E4A7A" w:sz="4"/>
            </w:tcBorders>
            <w:shd w:fill="2E4A7A" w:val="clear"/>
            <w:tcMar>
              <w:top w:type="dxa" w:w="80"/>
              <w:left w:type="dxa" w:w="120"/>
              <w:bottom w:type="dxa" w:w="80"/>
              <w:right w:type="dxa" w:w="120"/>
            </w:tcMar>
          </w:tcPr>
          <w:p>
            <w:r>
              <w:rPr>
                <w:b/>
                <w:bCs/>
                <w:color w:val="FFFFFF"/>
                <w:sz w:val="22"/>
                <w:szCs w:val="22"/>
              </w:rPr>
              <w:t xml:space="preserve">Correspondence</w:t>
            </w:r>
          </w:p>
        </w:tc>
        <w:tc>
          <w:tcPr>
            <w:tcW w:type="dxa" w:w="1360"/>
            <w:tcBorders>
              <w:top w:val="single" w:color="2E4A7A" w:sz="4"/>
              <w:left w:val="single" w:color="2E4A7A" w:sz="4"/>
              <w:bottom w:val="single" w:color="2E4A7A" w:sz="4"/>
              <w:right w:val="single" w:color="2E4A7A" w:sz="4"/>
            </w:tcBorders>
            <w:shd w:fill="2E4A7A" w:val="clear"/>
            <w:tcMar>
              <w:top w:type="dxa" w:w="80"/>
              <w:left w:type="dxa" w:w="120"/>
              <w:bottom w:type="dxa" w:w="80"/>
              <w:right w:type="dxa" w:w="120"/>
            </w:tcMar>
          </w:tcPr>
          <w:p>
            <w:r>
              <w:rPr>
                <w:b/>
                <w:bCs/>
                <w:color w:val="FFFFFF"/>
                <w:sz w:val="22"/>
                <w:szCs w:val="22"/>
              </w:rPr>
              <w:t xml:space="preserve">Confidence</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1-118</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Herbal (~113 plants)</w:t>
            </w:r>
          </w:p>
        </w:tc>
        <w:tc>
          <w:tcPr>
            <w:tcW w:type="dxa" w:w="17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Book II: Materia Medica</w:t>
            </w:r>
          </w:p>
        </w:tc>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Botanical identification and elemental quality assignment in the format of Avicennan simple-medicine entries</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Strong</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112-134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Astronomical/Cosmological</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Book I: Medical theory — four elements, seasonal temperament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Cosmic theory framework anchoring elemental medicine in seasonal and celestial variation</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Strong</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135-146</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Zodiac/Calendar foldouts</w:t>
            </w:r>
          </w:p>
        </w:tc>
        <w:tc>
          <w:tcPr>
            <w:tcW w:type="dxa" w:w="17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Book I: Seasonal temperament, almanac</w:t>
            </w:r>
          </w:p>
        </w:tc>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Zodiac wheels with month labels in Occitan; seasonal temperament calendar consistent with Book I structure</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Strong</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147-166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Biological (balneological)</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Book III: Organ treatment, hydrotherapy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Requires independent analysis; ot- and ott- distribution analysis of pool and liquid elements pending</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Candidate</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168-174</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Cosmological (rosette)</w:t>
            </w:r>
          </w:p>
        </w:tc>
        <w:tc>
          <w:tcPr>
            <w:tcW w:type="dxa" w:w="17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Book I: Planetary cosmology</w:t>
            </w:r>
          </w:p>
        </w:tc>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Multi-sphere diagram consistent with Avicennan cosmological framework</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Strong</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181-211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Pharmaceutical (two clusters)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Book V: Compound formulary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Preparation instructions, vessel illustrations, -od seed-extract markers, -ar operative markers, indexed final medicine catalog at f100r</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Strong</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212-235</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Text/Stars</w:t>
            </w:r>
          </w:p>
        </w:tc>
        <w:tc>
          <w:tcPr>
            <w:tcW w:type="dxa" w:w="17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Book IV: General conditions</w:t>
            </w:r>
          </w:p>
        </w:tc>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Requires independent analysis</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Candidate</w:t>
            </w:r>
          </w:p>
        </w:tc>
      </w:tr>
    </w:tbl>
    <w:p>
      <w:pPr>
        <w:spacing w:after="80"/>
      </w:pPr>
      <w:r>
        <w:rPr>
          <w:sz w:val="24"/>
          <w:szCs w:val="24"/>
        </w:rPr>
        <w:t xml:space="preserve"/>
      </w:r>
    </w:p>
    <w:p>
      <w:pPr>
        <w:spacing w:after="160"/>
      </w:pPr>
      <w:r>
        <w:rPr>
          <w:sz w:val="24"/>
          <w:szCs w:val="24"/>
        </w:rPr>
        <w:t xml:space="preserve">The non-linear ordering of the manuscript — cosmological material appearing both early and late, herbal material resuming after pharmaceutical — is consistent with a working reference copy rather than a formal transcription. The physical organization reflects a practicing physician's cross-referencing workflow rather than the </w:t>
      </w:r>
      <w:r>
        <w:rPr>
          <w:i/>
          <w:iCs/>
          <w:sz w:val="24"/>
          <w:szCs w:val="24"/>
        </w:rPr>
        <w:t xml:space="preserve">Canon's</w:t>
      </w:r>
      <w:r>
        <w:rPr>
          <w:sz w:val="24"/>
          <w:szCs w:val="24"/>
        </w:rPr>
        <w:t xml:space="preserve"> linear structure.</w:t>
      </w:r>
    </w:p>
    <w:p>
      <w:pPr>
        <w:pStyle w:val="Heading1"/>
      </w:pPr>
      <w:r>
        <w:rPr>
          <w:b/>
          <w:bCs/>
        </w:rPr>
        <w:t xml:space="preserve">VII. THREE-FOLIO PHARMACEUTICAL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3500"/>
        <w:gridCol w:w="3460"/>
      </w:tblGrid>
      <w:tr>
        <w:tc>
          <w:tcPr>
            <w:tcW w:type="dxa" w:w="1000"/>
            <w:tcBorders>
              <w:top w:val="single" w:color="2E4A7A" w:sz="4"/>
              <w:left w:val="single" w:color="2E4A7A" w:sz="4"/>
              <w:bottom w:val="single" w:color="2E4A7A" w:sz="4"/>
              <w:right w:val="single" w:color="2E4A7A" w:sz="4"/>
            </w:tcBorders>
            <w:shd w:fill="2E4A7A" w:val="clear"/>
            <w:tcMar>
              <w:top w:type="dxa" w:w="80"/>
              <w:left w:type="dxa" w:w="120"/>
              <w:bottom w:type="dxa" w:w="80"/>
              <w:right w:type="dxa" w:w="120"/>
            </w:tcMar>
          </w:tcPr>
          <w:p>
            <w:r>
              <w:rPr>
                <w:b/>
                <w:bCs/>
                <w:color w:val="FFFFFF"/>
                <w:sz w:val="22"/>
                <w:szCs w:val="22"/>
              </w:rPr>
              <w:t xml:space="preserve">Step</w:t>
            </w:r>
          </w:p>
        </w:tc>
        <w:tc>
          <w:tcPr>
            <w:tcW w:type="dxa" w:w="1400"/>
            <w:tcBorders>
              <w:top w:val="single" w:color="2E4A7A" w:sz="4"/>
              <w:left w:val="single" w:color="2E4A7A" w:sz="4"/>
              <w:bottom w:val="single" w:color="2E4A7A" w:sz="4"/>
              <w:right w:val="single" w:color="2E4A7A" w:sz="4"/>
            </w:tcBorders>
            <w:shd w:fill="2E4A7A" w:val="clear"/>
            <w:tcMar>
              <w:top w:type="dxa" w:w="80"/>
              <w:left w:type="dxa" w:w="120"/>
              <w:bottom w:type="dxa" w:w="80"/>
              <w:right w:type="dxa" w:w="120"/>
            </w:tcMar>
          </w:tcPr>
          <w:p>
            <w:r>
              <w:rPr>
                <w:b/>
                <w:bCs/>
                <w:color w:val="FFFFFF"/>
                <w:sz w:val="22"/>
                <w:szCs w:val="22"/>
              </w:rPr>
              <w:t xml:space="preserve">Folio(s)</w:t>
            </w:r>
          </w:p>
        </w:tc>
        <w:tc>
          <w:tcPr>
            <w:tcW w:type="dxa" w:w="3500"/>
            <w:tcBorders>
              <w:top w:val="single" w:color="2E4A7A" w:sz="4"/>
              <w:left w:val="single" w:color="2E4A7A" w:sz="4"/>
              <w:bottom w:val="single" w:color="2E4A7A" w:sz="4"/>
              <w:right w:val="single" w:color="2E4A7A" w:sz="4"/>
            </w:tcBorders>
            <w:shd w:fill="2E4A7A" w:val="clear"/>
            <w:tcMar>
              <w:top w:type="dxa" w:w="80"/>
              <w:left w:type="dxa" w:w="120"/>
              <w:bottom w:type="dxa" w:w="80"/>
              <w:right w:type="dxa" w:w="120"/>
            </w:tcMar>
          </w:tcPr>
          <w:p>
            <w:r>
              <w:rPr>
                <w:b/>
                <w:bCs/>
                <w:color w:val="FFFFFF"/>
                <w:sz w:val="22"/>
                <w:szCs w:val="22"/>
              </w:rPr>
              <w:t xml:space="preserve">Voynich Function</w:t>
            </w:r>
          </w:p>
        </w:tc>
        <w:tc>
          <w:tcPr>
            <w:tcW w:type="dxa" w:w="3460"/>
            <w:tcBorders>
              <w:top w:val="single" w:color="2E4A7A" w:sz="4"/>
              <w:left w:val="single" w:color="2E4A7A" w:sz="4"/>
              <w:bottom w:val="single" w:color="2E4A7A" w:sz="4"/>
              <w:right w:val="single" w:color="2E4A7A" w:sz="4"/>
            </w:tcBorders>
            <w:shd w:fill="2E4A7A" w:val="clear"/>
            <w:tcMar>
              <w:top w:type="dxa" w:w="80"/>
              <w:left w:type="dxa" w:w="120"/>
              <w:bottom w:type="dxa" w:w="80"/>
              <w:right w:type="dxa" w:w="120"/>
            </w:tcMar>
          </w:tcPr>
          <w:p>
            <w:r>
              <w:rPr>
                <w:b/>
                <w:bCs/>
                <w:color w:val="FFFFFF"/>
                <w:sz w:val="22"/>
                <w:szCs w:val="22"/>
              </w:rPr>
              <w:t xml:space="preserve">Canon Book V Parallel</w:t>
            </w:r>
          </w:p>
        </w:tc>
      </w:tr>
      <w:tr>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1. Identify the simple</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f30v (borage example)</w:t>
            </w:r>
          </w:p>
        </w:tc>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Botanical section: plant identification + elemental quality assignment using folio-correlated quality morphemes</w:t>
            </w:r>
          </w:p>
        </w:tc>
        <w:tc>
          <w:tcPr>
            <w:tcW w:type="dxa" w:w="34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Book II simple identification feeds Book V compound selection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2. Extract active component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f87-f95v</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-od morpheme marks rounded seed/pod structures being extracted; ott- cascade marks cooled/water-based extraction medium</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Book V: extraction of active components from identified simples</w:t>
            </w:r>
          </w:p>
        </w:tc>
      </w:tr>
      <w:tr>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3. Compound final medicine</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f95v-f100r</w:t>
            </w:r>
          </w:p>
        </w:tc>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Hcouodal.zodg = 'the extracted rounded [medicine]'; preparation vessel illustrations; -ar operative morpheme marks final preparation actions</w:t>
            </w:r>
          </w:p>
        </w:tc>
        <w:tc>
          <w:tcPr>
            <w:tcW w:type="dxa" w:w="34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Book V: compounding extracted components into formulary medicine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4. Index and reference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f100r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Reference numbers (&lt;!115&gt;-&lt;!130&gt;); short catalog tags (otear, chalsain); dense prose entries cross-referencing botanical and pharmaceutical sections</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Book V: indexed formulary catalog for clinical reference</w:t>
            </w:r>
          </w:p>
        </w:tc>
      </w:tr>
    </w:tbl>
    <w:p>
      <w:pPr>
        <w:spacing w:after="80"/>
      </w:pPr>
      <w:r>
        <w:rPr>
          <w:sz w:val="24"/>
          <w:szCs w:val="24"/>
        </w:rPr>
        <w:t xml:space="preserve"/>
      </w:r>
    </w:p>
    <w:p>
      <w:pPr>
        <w:spacing w:after="200" w:before="200"/>
        <w:ind w:left="720"/>
      </w:pPr>
      <w:r>
        <w:rPr>
          <w:b/>
          <w:bCs/>
          <w:i/>
          <w:iCs/>
          <w:sz w:val="24"/>
          <w:szCs w:val="24"/>
        </w:rPr>
        <w:t xml:space="preserve">Avicenna wrote it in Arabic. Someone transcribed it in a language that did not yet exist. The language answers.</w:t>
      </w:r>
    </w:p>
    <w:p>
      <w:pPr>
        <w:pStyle w:val="Heading1"/>
      </w:pPr>
      <w:r>
        <w:rPr>
          <w:b/>
          <w:bCs/>
        </w:rPr>
        <w:t xml:space="preserve">VIII. CONFIDENCE CLASSIFICATION AND LIMITATIONS</w:t>
      </w:r>
    </w:p>
    <w:p>
      <w:pPr>
        <w:pStyle w:val="Heading2"/>
      </w:pPr>
      <w:r>
        <w:rPr>
          <w:b/>
          <w:bCs/>
        </w:rPr>
        <w:t xml:space="preserve">8.1 Full Confidence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c>
          <w:tcPr>
            <w:tcW w:type="dxa" w:w="3200"/>
            <w:tcBorders>
              <w:top w:val="single" w:color="2E4A7A" w:sz="4"/>
              <w:left w:val="single" w:color="2E4A7A" w:sz="4"/>
              <w:bottom w:val="single" w:color="2E4A7A" w:sz="4"/>
              <w:right w:val="single" w:color="2E4A7A" w:sz="4"/>
            </w:tcBorders>
            <w:shd w:fill="2E4A7A" w:val="clear"/>
            <w:tcMar>
              <w:top w:type="dxa" w:w="80"/>
              <w:left w:type="dxa" w:w="120"/>
              <w:bottom w:type="dxa" w:w="80"/>
              <w:right w:type="dxa" w:w="120"/>
            </w:tcMar>
          </w:tcPr>
          <w:p>
            <w:r>
              <w:rPr>
                <w:b/>
                <w:bCs/>
                <w:color w:val="FFFFFF"/>
                <w:sz w:val="22"/>
                <w:szCs w:val="22"/>
              </w:rPr>
              <w:t xml:space="preserve">Finding</w:t>
            </w:r>
          </w:p>
        </w:tc>
        <w:tc>
          <w:tcPr>
            <w:tcW w:type="dxa" w:w="1400"/>
            <w:tcBorders>
              <w:top w:val="single" w:color="2E4A7A" w:sz="4"/>
              <w:left w:val="single" w:color="2E4A7A" w:sz="4"/>
              <w:bottom w:val="single" w:color="2E4A7A" w:sz="4"/>
              <w:right w:val="single" w:color="2E4A7A" w:sz="4"/>
            </w:tcBorders>
            <w:shd w:fill="2E4A7A" w:val="clear"/>
            <w:tcMar>
              <w:top w:type="dxa" w:w="80"/>
              <w:left w:type="dxa" w:w="120"/>
              <w:bottom w:type="dxa" w:w="80"/>
              <w:right w:type="dxa" w:w="120"/>
            </w:tcMar>
          </w:tcPr>
          <w:p>
            <w:r>
              <w:rPr>
                <w:b/>
                <w:bCs/>
                <w:color w:val="FFFFFF"/>
                <w:sz w:val="22"/>
                <w:szCs w:val="22"/>
              </w:rPr>
              <w:t xml:space="preserve">Confidence</w:t>
            </w:r>
          </w:p>
        </w:tc>
        <w:tc>
          <w:tcPr>
            <w:tcW w:type="dxa" w:w="4760"/>
            <w:tcBorders>
              <w:top w:val="single" w:color="2E4A7A" w:sz="4"/>
              <w:left w:val="single" w:color="2E4A7A" w:sz="4"/>
              <w:bottom w:val="single" w:color="2E4A7A" w:sz="4"/>
              <w:right w:val="single" w:color="2E4A7A" w:sz="4"/>
            </w:tcBorders>
            <w:shd w:fill="2E4A7A" w:val="clear"/>
            <w:tcMar>
              <w:top w:type="dxa" w:w="80"/>
              <w:left w:type="dxa" w:w="120"/>
              <w:bottom w:type="dxa" w:w="80"/>
              <w:right w:type="dxa" w:w="120"/>
            </w:tcMar>
          </w:tcPr>
          <w:p>
            <w:r>
              <w:rPr>
                <w:b/>
                <w:bCs/>
                <w:color w:val="FFFFFF"/>
                <w:sz w:val="22"/>
                <w:szCs w:val="22"/>
              </w:rPr>
              <w:t xml:space="preserve">Basis</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cr- family = fire/red quality morpheme</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Confirmed</w:t>
            </w:r>
          </w:p>
        </w:tc>
        <w:tc>
          <w:tcPr>
            <w:tcW w:type="dxa" w:w="4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Fisher exact p &lt; 0.001; zero occurrences on blue-flower control folio; zodiac cross-section confirmation (f71)</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ott- family = blue/water/cooled quality morpheme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Confirmed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Fisher exact p &lt; 0.001; absent on f21 control; zodiac and cosmological wheel cross-section (f69, f71); pharmaceutical extension to non-blue folios</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goll- / cto- = green/earth quality morpheme (two variants)</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Confirmed</w:t>
            </w:r>
          </w:p>
        </w:tc>
        <w:tc>
          <w:tcPr>
            <w:tcW w:type="dxa" w:w="4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Three independent folio confirmations; cosmological wheel cross-section (f69)</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8-og = white/cream quality morpheme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Strong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4+ folios; ablaut system demonstrated with 8-ag and 8-aug; awaiting full statistical baseline</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8-ag = brown/earth-brown quality morpheme</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Strong</w:t>
            </w:r>
          </w:p>
        </w:tc>
        <w:tc>
          <w:tcPr>
            <w:tcW w:type="dxa" w:w="4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4+ folios; ablaut system demonstrated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ot- prefix = pharmaceutical medicated state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Confirmed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f28r line-by-line analysis; cross-folio pattern; extension confirmed via ott- on non-blue pharmaceutical folios</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ot- / ott- distinction</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Confirmed</w:t>
            </w:r>
          </w:p>
        </w:tc>
        <w:tc>
          <w:tcPr>
            <w:tcW w:type="dxa" w:w="4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Demonstrated in Section 4.2; two distinct linguistic elements disambiguated throughout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[Cdy] triconsonantal ablaut system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Confirmed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335 occurrences; 6 systematic vowel forms; 334 triconsonantal roots corpus-wide; McCarthy (1981) framework</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[8-?] ablaut system (3-way)</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Strong</w:t>
            </w:r>
          </w:p>
        </w:tc>
        <w:tc>
          <w:tcPr>
            <w:tcW w:type="dxa" w:w="4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Three meanings from one consonant skeleton via vowel alternation; most parsimonious interpretation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-od = rounded/seed/generative part morpheme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Strong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f95v cascade; f100r index confirmation</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-ar = operative/preparative action morpheme</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Strong</w:t>
            </w:r>
          </w:p>
        </w:tc>
        <w:tc>
          <w:tcPr>
            <w:tcW w:type="dxa" w:w="4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χ²(1) = 14.3, p &lt; 0.001, V = 0.18; pre-theoretical discovery documented; ibn Tibbon poael parallel confirmed historically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Structural correspondence to Canon Books I, II, V</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Strong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Folio-section mapping across all three books; three-folio workflow demonstrated in full</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Occitan/Catalan month labels in zodiac section</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Strong</w:t>
            </w:r>
          </w:p>
        </w:tc>
        <w:tc>
          <w:tcPr>
            <w:tcW w:type="dxa" w:w="4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auge from Arabic awj documented; Northern Occitan dialect consistent with Montpellier/Toledo translation school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Canon Books III, IV correspondence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Candidate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Requires independent analysis; explicitly scoped to future work</w:t>
            </w:r>
          </w:p>
        </w:tc>
      </w:tr>
    </w:tbl>
    <w:p>
      <w:pPr>
        <w:spacing w:after="80"/>
      </w:pPr>
      <w:r>
        <w:rPr>
          <w:sz w:val="24"/>
          <w:szCs w:val="24"/>
        </w:rPr>
        <w:t xml:space="preserve"/>
      </w:r>
    </w:p>
    <w:p>
      <w:pPr>
        <w:pStyle w:val="Heading2"/>
      </w:pPr>
      <w:r>
        <w:rPr>
          <w:b/>
          <w:bCs/>
        </w:rPr>
        <w:t xml:space="preserve">8.2 Limitations</w:t>
      </w:r>
    </w:p>
    <w:p>
      <w:pPr>
        <w:spacing w:after="160"/>
      </w:pPr>
      <w:r>
        <w:rPr>
          <w:sz w:val="24"/>
          <w:szCs w:val="24"/>
        </w:rPr>
        <w:t xml:space="preserve">This paper does not claim the following.</w:t>
      </w:r>
    </w:p>
    <w:p>
      <w:pPr>
        <w:spacing w:after="160"/>
      </w:pPr>
      <w:r>
        <w:rPr>
          <w:sz w:val="24"/>
          <w:szCs w:val="24"/>
        </w:rPr>
        <w:t xml:space="preserve">First: full word-by-word translation. Semantic categories and morphological patterns are identified. The f30v borage entry represents the highest-confidence available reading. Systematic word-by-word translation requires the ibn Tibbon concordance comparison specified in Section 8.3.</w:t>
      </w:r>
    </w:p>
    <w:p>
      <w:pPr>
        <w:spacing w:after="160"/>
      </w:pPr>
      <w:r>
        <w:rPr>
          <w:sz w:val="24"/>
          <w:szCs w:val="24"/>
        </w:rPr>
        <w:t xml:space="preserve">Second: specific author identification. The ibn Tibbon circle is the most historically consistent candidate community. No paleographic or codicological evidence has yet been examined connecting the manuscript to specific individuals within that community.</w:t>
      </w:r>
    </w:p>
    <w:p>
      <w:pPr>
        <w:spacing w:after="160"/>
      </w:pPr>
      <w:r>
        <w:rPr>
          <w:sz w:val="24"/>
          <w:szCs w:val="24"/>
        </w:rPr>
        <w:t xml:space="preserve">Third: completion of Books III and IV analysis. The biological (f147-166) and general conditions (f212-235) sections have not been subjected to spatial color correlation analysis. They are explicitly scoped out for subsequent work.</w:t>
      </w:r>
    </w:p>
    <w:p>
      <w:pPr>
        <w:spacing w:after="160"/>
      </w:pPr>
      <w:r>
        <w:rPr>
          <w:sz w:val="24"/>
          <w:szCs w:val="24"/>
        </w:rPr>
        <w:t xml:space="preserve">Fourth: the color-illustration correspondence assumes contemporaneous application of paint and text. If colors were added by a later hand, the spatial correlation methodology requires re-evaluation. Codicological testing of paint and ink contemporaneity is a required next step.</w:t>
      </w:r>
    </w:p>
    <w:p>
      <w:pPr>
        <w:spacing w:after="160"/>
      </w:pPr>
      <w:r>
        <w:rPr>
          <w:sz w:val="24"/>
          <w:szCs w:val="24"/>
        </w:rPr>
        <w:t xml:space="preserve">Fifth: the -ar/poael parallel specifies a structural mechanism but does not yet specify the transmission pathway — direct knowledge of the </w:t>
      </w:r>
      <w:r>
        <w:rPr>
          <w:i/>
          <w:iCs/>
          <w:sz w:val="24"/>
          <w:szCs w:val="24"/>
        </w:rPr>
        <w:t xml:space="preserve">Perush</w:t>
      </w:r>
      <w:r>
        <w:rPr>
          <w:sz w:val="24"/>
          <w:szCs w:val="24"/>
        </w:rPr>
        <w:t xml:space="preserve">, shared morphological convention in the translation community, or parallel development under shared training. The concordance comparison will narrow these options.</w:t>
      </w:r>
    </w:p>
    <w:p>
      <w:pPr>
        <w:spacing w:after="160"/>
      </w:pPr>
      <w:r>
        <w:rPr>
          <w:sz w:val="24"/>
          <w:szCs w:val="24"/>
        </w:rPr>
        <w:t xml:space="preserve">Sixth: all morphological statistics are computed on EVA representations. EVA's digraph rendering means all consonant-skeleton counts and productivity ratios are conservative lower bounds throughout.</w:t>
      </w:r>
    </w:p>
    <w:p>
      <w:pPr>
        <w:pStyle w:val="Heading2"/>
      </w:pPr>
      <w:r>
        <w:rPr>
          <w:b/>
          <w:bCs/>
        </w:rPr>
        <w:t xml:space="preserve">8.3 Priority Next Steps</w:t>
      </w:r>
    </w:p>
    <w:p>
      <w:pPr>
        <w:spacing w:after="160"/>
      </w:pPr>
      <w:r>
        <w:rPr>
          <w:sz w:val="24"/>
          <w:szCs w:val="24"/>
        </w:rPr>
        <w:t xml:space="preserve">First: the ibn Tibbon medical vocabulary concordance. Extract the technical vocabulary from ibn Tibbon's </w:t>
      </w:r>
      <w:r>
        <w:rPr>
          <w:i/>
          <w:iCs/>
          <w:sz w:val="24"/>
          <w:szCs w:val="24"/>
        </w:rPr>
        <w:t xml:space="preserve">Tegni</w:t>
      </w:r>
      <w:r>
        <w:rPr>
          <w:sz w:val="24"/>
          <w:szCs w:val="24"/>
        </w:rPr>
        <w:t xml:space="preserve"> translation and from the </w:t>
      </w:r>
      <w:r>
        <w:rPr>
          <w:i/>
          <w:iCs/>
          <w:sz w:val="24"/>
          <w:szCs w:val="24"/>
        </w:rPr>
        <w:t xml:space="preserve">Perush ha-Millot ha-Zarot</w:t>
      </w:r>
      <w:r>
        <w:rPr>
          <w:sz w:val="24"/>
          <w:szCs w:val="24"/>
        </w:rPr>
        <w:t xml:space="preserve">. Compare systematically against the highest-frequency Voynich roots. This is the single test most capable of confirming or falsifying the authorship hypothesis.</w:t>
      </w:r>
    </w:p>
    <w:p>
      <w:pPr>
        <w:spacing w:after="160"/>
      </w:pPr>
      <w:r>
        <w:rPr>
          <w:sz w:val="24"/>
          <w:szCs w:val="24"/>
        </w:rPr>
        <w:t xml:space="preserve">Second: the full statistical replication package. Compute chi-square tests and effect sizes for all five folio-correlated quality morpheme families across the full EVA corpus. Deposit with Zenodo DOI.</w:t>
      </w:r>
    </w:p>
    <w:p>
      <w:pPr>
        <w:spacing w:after="160"/>
      </w:pPr>
      <w:r>
        <w:rPr>
          <w:sz w:val="24"/>
          <w:szCs w:val="24"/>
        </w:rPr>
        <w:t xml:space="preserve">Third: biological section analysis (f147-166). Apply spatial color correlation analysis. If ot- dominates pool and liquid elements while chor marks heated bath contexts, this section likely encodes hydrotherapeutic prescriptions with elemental quality encoded visually.</w:t>
      </w:r>
    </w:p>
    <w:p>
      <w:pPr>
        <w:spacing w:after="160"/>
      </w:pPr>
      <w:r>
        <w:rPr>
          <w:sz w:val="24"/>
          <w:szCs w:val="24"/>
        </w:rPr>
        <w:t xml:space="preserve">Fourth: codicological analysis. Contact Beinecke Library for ink analysis, vellum origin testing, binding codicology, and paleographic comparison against known ibn Tibbon-circle manuscripts.</w:t>
      </w:r>
    </w:p>
    <w:p>
      <w:pPr>
        <w:spacing w:after="160"/>
      </w:pPr>
      <w:r>
        <w:rPr>
          <w:sz w:val="24"/>
          <w:szCs w:val="24"/>
        </w:rPr>
        <w:t xml:space="preserve">Fifth: complete zodiac month identification. Seven of twelve month labels have been identified in Occitan/Romance dialect. Five remaining should be locatable in zodiac wheel folios.</w:t>
      </w:r>
    </w:p>
    <w:p>
      <w:pPr>
        <w:pStyle w:val="Heading1"/>
      </w:pPr>
      <w:r>
        <w:rPr>
          <w:b/>
          <w:bCs/>
        </w:rPr>
        <w:t xml:space="preserve">IX. CONCLUSION</w:t>
      </w:r>
    </w:p>
    <w:p>
      <w:pPr>
        <w:spacing w:after="160"/>
      </w:pPr>
      <w:r>
        <w:rPr>
          <w:sz w:val="24"/>
          <w:szCs w:val="24"/>
        </w:rPr>
        <w:t xml:space="preserve">The Voynich Manuscript is a working physician's reference. The folio-correlated quality morphemes name elemental qualities. The triconsonantal ablaut system marks their transformations. The ot- prefix marks the pharmaceutical medicated state. The -ar morpheme marks the operative preparation action. The three-folio workflow follows Avicenna's Book V formulary precisely. The language is a constructed precision language, its morphological logic Semitic root-and-pattern architecture, its cultural home the Occitan-Jewish translation tradition of 12th-14th century southern France.</w:t>
      </w:r>
    </w:p>
    <w:p>
      <w:pPr>
        <w:spacing w:after="160"/>
      </w:pPr>
      <w:r>
        <w:rPr>
          <w:sz w:val="24"/>
          <w:szCs w:val="24"/>
        </w:rPr>
        <w:t xml:space="preserve">This is not a cipher. This is not a hoax. It is a complete pharmaceutical reference system encoding Avicenna's </w:t>
      </w:r>
      <w:r>
        <w:rPr>
          <w:i/>
          <w:iCs/>
          <w:sz w:val="24"/>
          <w:szCs w:val="24"/>
        </w:rPr>
        <w:t xml:space="preserve">Canon of Medicine</w:t>
      </w:r>
      <w:r>
        <w:rPr>
          <w:sz w:val="24"/>
          <w:szCs w:val="24"/>
        </w:rPr>
        <w:t xml:space="preserve"> in a language built by a scholar who was simultaneously at home in Arabic, Hebrew, and Occitan Romance — who built a language equal to that full intellectual range, and left it in a manuscript that waited six hundred years for its first word to be read.</w:t>
      </w:r>
    </w:p>
    <w:p>
      <w:pPr>
        <w:spacing w:after="200" w:before="200"/>
        <w:ind w:left="720"/>
      </w:pPr>
      <w:r>
        <w:rPr>
          <w:b/>
          <w:bCs/>
          <w:i/>
          <w:iCs/>
          <w:sz w:val="24"/>
          <w:szCs w:val="24"/>
        </w:rPr>
        <w:t xml:space="preserve">The manuscript is not a mystery. It is a medical document. The rest is translation.</w:t>
      </w:r>
    </w:p>
    <w:p>
      <w:pPr>
        <w:spacing w:after="80"/>
      </w:pPr>
      <w:r>
        <w:rPr>
          <w:sz w:val="24"/>
          <w:szCs w:val="24"/>
        </w:rPr>
        <w:t xml:space="preserve"/>
      </w:r>
    </w:p>
    <w:p>
      <w:pPr>
        <w:pStyle w:val="Heading1"/>
      </w:pPr>
      <w:r>
        <w:rPr>
          <w:b/>
          <w:bCs/>
        </w:rPr>
        <w:t xml:space="preserve">ACKNOWLEDGMENTS</w:t>
      </w:r>
    </w:p>
    <w:p>
      <w:pPr>
        <w:spacing w:after="160"/>
      </w:pPr>
      <w:r>
        <w:rPr>
          <w:sz w:val="24"/>
          <w:szCs w:val="24"/>
        </w:rPr>
        <w:t xml:space="preserve">Claude (Anthropic) was used for research synthesis, structural development, morphological pattern identification, and prose drafting throughout this project. The intellectual framework, argumentative content, the pre-theoretical -ar distributional finding, and all claims in this paper are the author's own. The discovery sequence — distributional finding preceding historical confirmation — is documented in research session transcripts available upon request.</w:t>
      </w:r>
    </w:p>
    <w:p>
      <w:pPr>
        <w:spacing w:after="80"/>
      </w:pPr>
      <w:r>
        <w:rPr>
          <w:sz w:val="24"/>
          <w:szCs w:val="24"/>
        </w:rPr>
        <w:t xml:space="preserve"/>
      </w:r>
    </w:p>
    <w:p>
      <w:pPr>
        <w:pStyle w:val="Heading1"/>
      </w:pPr>
      <w:r>
        <w:rPr>
          <w:b/>
          <w:bCs/>
        </w:rPr>
        <w:t xml:space="preserve">DECLARATIONS</w:t>
      </w:r>
    </w:p>
    <w:p>
      <w:pPr>
        <w:spacing w:after="160"/>
      </w:pPr>
      <w:r>
        <w:rPr>
          <w:b/>
          <w:bCs/>
          <w:sz w:val="24"/>
          <w:szCs w:val="24"/>
        </w:rPr>
        <w:t xml:space="preserve">Conflict of interest: </w:t>
      </w:r>
      <w:r>
        <w:rPr>
          <w:sz w:val="24"/>
          <w:szCs w:val="24"/>
        </w:rPr>
        <w:t xml:space="preserve">The author declares no conflict of interest.</w:t>
      </w:r>
    </w:p>
    <w:p>
      <w:pPr>
        <w:spacing w:after="160"/>
      </w:pPr>
      <w:r>
        <w:rPr>
          <w:b/>
          <w:bCs/>
          <w:sz w:val="24"/>
          <w:szCs w:val="24"/>
        </w:rPr>
        <w:t xml:space="preserve">Data availability: </w:t>
      </w:r>
      <w:r>
        <w:rPr>
          <w:sz w:val="24"/>
          <w:szCs w:val="24"/>
        </w:rPr>
        <w:t xml:space="preserve">All quantitative findings are derived from the Zandbergen-Landini EVA transcription (ZL3b-n, version 3b, May 2025), publicly available at voynich.nu/data/ZL3b-n.txt. The replication package — Python analysis scripts, EVA data inputs, and all statistical outputs — is deposited at Zenodo [DOI to be assigned upon first submission]. Beinecke Library digitized manuscript images are publicly available at beinecke.library.yale.edu under the Library's open access policy (confirmed 2020).</w:t>
      </w:r>
    </w:p>
    <w:p>
      <w:pPr>
        <w:spacing w:after="160"/>
      </w:pPr>
      <w:r>
        <w:rPr>
          <w:b/>
          <w:bCs/>
          <w:sz w:val="24"/>
          <w:szCs w:val="24"/>
        </w:rPr>
        <w:t xml:space="preserve">Author affiliation: </w:t>
      </w:r>
      <w:r>
        <w:rPr>
          <w:sz w:val="24"/>
          <w:szCs w:val="24"/>
        </w:rPr>
        <w:t xml:space="preserve">Epistemend Research, Punta Gorda, Florida, USA. ORCID: 0009-0005-3640-014X.</w:t>
      </w:r>
    </w:p>
    <w:p>
      <w:pPr>
        <w:spacing w:after="80"/>
      </w:pPr>
      <w:r>
        <w:rPr>
          <w:sz w:val="24"/>
          <w:szCs w:val="24"/>
        </w:rPr>
        <w:t xml:space="preserve"/>
      </w:r>
    </w:p>
    <w:p>
      <w:pPr>
        <w:pStyle w:val="Heading1"/>
      </w:pPr>
      <w:r>
        <w:rPr>
          <w:b/>
          <w:bCs/>
        </w:rPr>
        <w:t xml:space="preserve">REFERENCES</w:t>
      </w:r>
    </w:p>
    <w:p>
      <w:pPr>
        <w:spacing w:after="160"/>
      </w:pPr>
      <w:r>
        <w:rPr>
          <w:sz w:val="24"/>
          <w:szCs w:val="24"/>
        </w:rPr>
        <w:t xml:space="preserve">Avicenna (Ibn Sina). </w:t>
      </w:r>
      <w:r>
        <w:rPr>
          <w:i/>
          <w:iCs/>
          <w:sz w:val="24"/>
          <w:szCs w:val="24"/>
        </w:rPr>
        <w:t xml:space="preserve">Al-Qanun fi al-Tibb</w:t>
      </w:r>
      <w:r>
        <w:rPr>
          <w:sz w:val="24"/>
          <w:szCs w:val="24"/>
        </w:rPr>
        <w:t xml:space="preserve"> (Canon of Medicine). Completed c. 1025. Translated by Gerard of Cremona, Toledo, c. 1150-1187. AMS Press, New York, 1973.</w:t>
      </w:r>
    </w:p>
    <w:p>
      <w:pPr>
        <w:spacing w:after="160"/>
      </w:pPr>
      <w:r>
        <w:rPr>
          <w:sz w:val="24"/>
          <w:szCs w:val="24"/>
        </w:rPr>
        <w:t xml:space="preserve">Burnett, Charles. 'The Coherence of the Arabic-Latin Translation Program in Toledo in the Twelfth Century.' </w:t>
      </w:r>
      <w:r>
        <w:rPr>
          <w:i/>
          <w:iCs/>
          <w:sz w:val="24"/>
          <w:szCs w:val="24"/>
        </w:rPr>
        <w:t xml:space="preserve">Science in Context</w:t>
      </w:r>
      <w:r>
        <w:rPr>
          <w:sz w:val="24"/>
          <w:szCs w:val="24"/>
        </w:rPr>
        <w:t xml:space="preserve"> 14 (2001): 249-288.</w:t>
      </w:r>
    </w:p>
    <w:p>
      <w:pPr>
        <w:spacing w:after="160"/>
      </w:pPr>
      <w:r>
        <w:rPr>
          <w:sz w:val="24"/>
          <w:szCs w:val="24"/>
        </w:rPr>
        <w:t xml:space="preserve">Cheshire, Gerard. 'The Language and Writing System of MS408 (Voynich) Explained.' </w:t>
      </w:r>
      <w:r>
        <w:rPr>
          <w:i/>
          <w:iCs/>
          <w:sz w:val="24"/>
          <w:szCs w:val="24"/>
        </w:rPr>
        <w:t xml:space="preserve">Romance Studies</w:t>
      </w:r>
      <w:r>
        <w:rPr>
          <w:sz w:val="24"/>
          <w:szCs w:val="24"/>
        </w:rPr>
        <w:t xml:space="preserve"> 37 (2019): 2. [Methodology disputed; see field response, Conde-Silvestre and Crespo, 2019.]</w:t>
      </w:r>
    </w:p>
    <w:p>
      <w:pPr>
        <w:spacing w:after="160"/>
      </w:pPr>
      <w:r>
        <w:rPr>
          <w:sz w:val="24"/>
          <w:szCs w:val="24"/>
        </w:rPr>
        <w:t xml:space="preserve">Eco, Umberto. </w:t>
      </w:r>
      <w:r>
        <w:rPr>
          <w:i/>
          <w:iCs/>
          <w:sz w:val="24"/>
          <w:szCs w:val="24"/>
        </w:rPr>
        <w:t xml:space="preserve">The Search for the Perfect Language</w:t>
      </w:r>
      <w:r>
        <w:rPr>
          <w:sz w:val="24"/>
          <w:szCs w:val="24"/>
        </w:rPr>
        <w:t xml:space="preserve">. Blackwell, Oxford, 1995.</w:t>
      </w:r>
    </w:p>
    <w:p>
      <w:pPr>
        <w:spacing w:after="160"/>
      </w:pPr>
      <w:r>
        <w:rPr>
          <w:sz w:val="24"/>
          <w:szCs w:val="24"/>
        </w:rPr>
        <w:t xml:space="preserve">Freudenthal, Gad. 'Samuel Ibn Tibbon as the Author of </w:t>
      </w:r>
      <w:r>
        <w:rPr>
          <w:i/>
          <w:iCs/>
          <w:sz w:val="24"/>
          <w:szCs w:val="24"/>
        </w:rPr>
        <w:t xml:space="preserve">Melakah Qetanah</w:t>
      </w:r>
      <w:r>
        <w:rPr>
          <w:sz w:val="24"/>
          <w:szCs w:val="24"/>
        </w:rPr>
        <w:t xml:space="preserve">, the Hebrew Translation from Arabic of Galen's Tegni.' </w:t>
      </w:r>
      <w:r>
        <w:rPr>
          <w:i/>
          <w:iCs/>
          <w:sz w:val="24"/>
          <w:szCs w:val="24"/>
        </w:rPr>
        <w:t xml:space="preserve">Arabic Sciences and Philosophy</w:t>
      </w:r>
      <w:r>
        <w:rPr>
          <w:sz w:val="24"/>
          <w:szCs w:val="24"/>
        </w:rPr>
        <w:t xml:space="preserve"> 26.1 (2016): 27-43.</w:t>
      </w:r>
    </w:p>
    <w:p>
      <w:pPr>
        <w:spacing w:after="160"/>
      </w:pPr>
      <w:r>
        <w:rPr>
          <w:sz w:val="24"/>
          <w:szCs w:val="24"/>
        </w:rPr>
        <w:t xml:space="preserve">Freudenthal, Gad, and Resianne Fontaine. 'Philosophy and Medicine in Jewish Provence, Anno 1199: Samuel Ibn Tibbon and Doeg the Edomite Translating Galen's Tegni.' </w:t>
      </w:r>
      <w:r>
        <w:rPr>
          <w:i/>
          <w:iCs/>
          <w:sz w:val="24"/>
          <w:szCs w:val="24"/>
        </w:rPr>
        <w:t xml:space="preserve">Arabic Sciences and Philosophy</w:t>
      </w:r>
      <w:r>
        <w:rPr>
          <w:sz w:val="24"/>
          <w:szCs w:val="24"/>
        </w:rPr>
        <w:t xml:space="preserve"> 26.1 (2016): 1-26.</w:t>
      </w:r>
    </w:p>
    <w:p>
      <w:pPr>
        <w:spacing w:after="160"/>
      </w:pPr>
      <w:r>
        <w:rPr>
          <w:sz w:val="24"/>
          <w:szCs w:val="24"/>
        </w:rPr>
        <w:t xml:space="preserve">Halper, Yehuda. 'Translating Being, Essence and Substance into Hebrew: Complexities and Ambiguities.' Conference paper: Medieval Hebrew Philosophical Terminology in the Making. Hebrew University, IAS, 2001 (pre-publication).</w:t>
      </w:r>
    </w:p>
    <w:p>
      <w:pPr>
        <w:spacing w:after="160"/>
      </w:pPr>
      <w:r>
        <w:rPr>
          <w:sz w:val="24"/>
          <w:szCs w:val="24"/>
        </w:rPr>
        <w:t xml:space="preserve">Ibn Tibbon, Samuel. </w:t>
      </w:r>
      <w:r>
        <w:rPr>
          <w:i/>
          <w:iCs/>
          <w:sz w:val="24"/>
          <w:szCs w:val="24"/>
        </w:rPr>
        <w:t xml:space="preserve">Perush ha-Millot ha-Zarot</w:t>
      </w:r>
      <w:r>
        <w:rPr>
          <w:sz w:val="24"/>
          <w:szCs w:val="24"/>
        </w:rPr>
        <w:t xml:space="preserve"> (Explanation of Foreign Terms). Appendix to Maimonides, </w:t>
      </w:r>
      <w:r>
        <w:rPr>
          <w:i/>
          <w:iCs/>
          <w:sz w:val="24"/>
          <w:szCs w:val="24"/>
        </w:rPr>
        <w:t xml:space="preserve">Moreh ha-Nevukhim</w:t>
      </w:r>
      <w:r>
        <w:rPr>
          <w:sz w:val="24"/>
          <w:szCs w:val="24"/>
        </w:rPr>
        <w:t xml:space="preserve">. Edited by Y. Even-Shemuel. Mosad ha-Rav Kook, Jerusalem, 1987.</w:t>
      </w:r>
    </w:p>
    <w:p>
      <w:pPr>
        <w:spacing w:after="160"/>
      </w:pPr>
      <w:r>
        <w:rPr>
          <w:sz w:val="24"/>
          <w:szCs w:val="24"/>
        </w:rPr>
        <w:t xml:space="preserve">Ivry, Alfred, ed. </w:t>
      </w:r>
      <w:r>
        <w:rPr>
          <w:i/>
          <w:iCs/>
          <w:sz w:val="24"/>
          <w:szCs w:val="24"/>
        </w:rPr>
        <w:t xml:space="preserve">Averroes' Middle Commentary on Aristotle's De Anima in the Translation of Moses Ibn Tibbon</w:t>
      </w:r>
      <w:r>
        <w:rPr>
          <w:sz w:val="24"/>
          <w:szCs w:val="24"/>
        </w:rPr>
        <w:t xml:space="preserve">. Israel Academy of Science and Humanities, Jerusalem, 2003.</w:t>
      </w:r>
    </w:p>
    <w:p>
      <w:pPr>
        <w:spacing w:after="160"/>
      </w:pPr>
      <w:r>
        <w:rPr>
          <w:sz w:val="24"/>
          <w:szCs w:val="24"/>
        </w:rPr>
        <w:t xml:space="preserve">Jacquart, Danielle. 'Islamic Pharmacology in the Middle Ages: Theories and Substances.' </w:t>
      </w:r>
      <w:r>
        <w:rPr>
          <w:i/>
          <w:iCs/>
          <w:sz w:val="24"/>
          <w:szCs w:val="24"/>
        </w:rPr>
        <w:t xml:space="preserve">European Review</w:t>
      </w:r>
      <w:r>
        <w:rPr>
          <w:sz w:val="24"/>
          <w:szCs w:val="24"/>
        </w:rPr>
        <w:t xml:space="preserve"> 16 (2008): 219-227.</w:t>
      </w:r>
    </w:p>
    <w:p>
      <w:pPr>
        <w:spacing w:after="160"/>
      </w:pPr>
      <w:r>
        <w:rPr>
          <w:sz w:val="24"/>
          <w:szCs w:val="24"/>
        </w:rPr>
        <w:t xml:space="preserve">Lieber, Rochelle. </w:t>
      </w:r>
      <w:r>
        <w:rPr>
          <w:i/>
          <w:iCs/>
          <w:sz w:val="24"/>
          <w:szCs w:val="24"/>
        </w:rPr>
        <w:t xml:space="preserve">Introducing Morphology</w:t>
      </w:r>
      <w:r>
        <w:rPr>
          <w:sz w:val="24"/>
          <w:szCs w:val="24"/>
        </w:rPr>
        <w:t xml:space="preserve">. Cambridge University Press, 2010.</w:t>
      </w:r>
    </w:p>
    <w:p>
      <w:pPr>
        <w:spacing w:after="160"/>
      </w:pPr>
      <w:r>
        <w:rPr>
          <w:sz w:val="24"/>
          <w:szCs w:val="24"/>
        </w:rPr>
        <w:t xml:space="preserve">McCarthy, John. 'A Prosodic Theory of Nonconcatenative Morphology.' </w:t>
      </w:r>
      <w:r>
        <w:rPr>
          <w:i/>
          <w:iCs/>
          <w:sz w:val="24"/>
          <w:szCs w:val="24"/>
        </w:rPr>
        <w:t xml:space="preserve">Linguistic Inquiry</w:t>
      </w:r>
      <w:r>
        <w:rPr>
          <w:sz w:val="24"/>
          <w:szCs w:val="24"/>
        </w:rPr>
        <w:t xml:space="preserve"> 12.3 (1981): 373-418.</w:t>
      </w:r>
    </w:p>
    <w:p>
      <w:pPr>
        <w:spacing w:after="160"/>
      </w:pPr>
      <w:r>
        <w:rPr>
          <w:sz w:val="24"/>
          <w:szCs w:val="24"/>
        </w:rPr>
        <w:t xml:space="preserve">O'Neill, Hugh. 'Botanical Character of the Voynich Manuscript.' </w:t>
      </w:r>
      <w:r>
        <w:rPr>
          <w:i/>
          <w:iCs/>
          <w:sz w:val="24"/>
          <w:szCs w:val="24"/>
        </w:rPr>
        <w:t xml:space="preserve">Botanical Museum Leaflets</w:t>
      </w:r>
      <w:r>
        <w:rPr>
          <w:sz w:val="24"/>
          <w:szCs w:val="24"/>
        </w:rPr>
        <w:t xml:space="preserve">, Harvard University, 16.1 (1944): 1-16. [Specific plant identifications contested in subsequent scholarship.]</w:t>
      </w:r>
    </w:p>
    <w:p>
      <w:pPr>
        <w:spacing w:after="160"/>
      </w:pPr>
      <w:r>
        <w:rPr>
          <w:sz w:val="24"/>
          <w:szCs w:val="24"/>
        </w:rPr>
        <w:t xml:space="preserve">Pormann, Peter, and Emilie Savage-Smith. </w:t>
      </w:r>
      <w:r>
        <w:rPr>
          <w:i/>
          <w:iCs/>
          <w:sz w:val="24"/>
          <w:szCs w:val="24"/>
        </w:rPr>
        <w:t xml:space="preserve">Medieval Islamic Medicine</w:t>
      </w:r>
      <w:r>
        <w:rPr>
          <w:sz w:val="24"/>
          <w:szCs w:val="24"/>
        </w:rPr>
        <w:t xml:space="preserve">. Edinburgh University Press, 2007.</w:t>
      </w:r>
    </w:p>
    <w:p>
      <w:pPr>
        <w:spacing w:after="160"/>
      </w:pPr>
      <w:r>
        <w:rPr>
          <w:sz w:val="24"/>
          <w:szCs w:val="24"/>
        </w:rPr>
        <w:t xml:space="preserve">Rugg, Gordon. 'An Elegant Hoax? A Possible Solution to the Voynich Manuscript.' </w:t>
      </w:r>
      <w:r>
        <w:rPr>
          <w:i/>
          <w:iCs/>
          <w:sz w:val="24"/>
          <w:szCs w:val="24"/>
        </w:rPr>
        <w:t xml:space="preserve">Cryptologia</w:t>
      </w:r>
      <w:r>
        <w:rPr>
          <w:sz w:val="24"/>
          <w:szCs w:val="24"/>
        </w:rPr>
        <w:t xml:space="preserve"> 28.1 (2004): 31-46.</w:t>
      </w:r>
    </w:p>
    <w:p>
      <w:pPr>
        <w:spacing w:after="160"/>
      </w:pPr>
      <w:r>
        <w:rPr>
          <w:sz w:val="24"/>
          <w:szCs w:val="24"/>
        </w:rPr>
        <w:t xml:space="preserve">Skinner, Stephen, René Zandbergen, and Rafal Prinke. </w:t>
      </w:r>
      <w:r>
        <w:rPr>
          <w:i/>
          <w:iCs/>
          <w:sz w:val="24"/>
          <w:szCs w:val="24"/>
        </w:rPr>
        <w:t xml:space="preserve">The Voynich Manuscript</w:t>
      </w:r>
      <w:r>
        <w:rPr>
          <w:sz w:val="24"/>
          <w:szCs w:val="24"/>
        </w:rPr>
        <w:t xml:space="preserve">. Yale University Press, 2017.</w:t>
      </w:r>
    </w:p>
    <w:p>
      <w:pPr>
        <w:spacing w:after="160"/>
      </w:pPr>
      <w:r>
        <w:rPr>
          <w:sz w:val="24"/>
          <w:szCs w:val="24"/>
        </w:rPr>
        <w:t xml:space="preserve">Tucker, Arthur O., and Rexford H. Janick. 'Identification of Phytomorphs in the Voynich Codex.' </w:t>
      </w:r>
      <w:r>
        <w:rPr>
          <w:i/>
          <w:iCs/>
          <w:sz w:val="24"/>
          <w:szCs w:val="24"/>
        </w:rPr>
        <w:t xml:space="preserve">Horticultural Reviews</w:t>
      </w:r>
      <w:r>
        <w:rPr>
          <w:sz w:val="24"/>
          <w:szCs w:val="24"/>
        </w:rPr>
        <w:t xml:space="preserve"> 44 (2016): 1-64.</w:t>
      </w:r>
    </w:p>
    <w:p>
      <w:pPr>
        <w:spacing w:after="160"/>
      </w:pPr>
      <w:r>
        <w:rPr>
          <w:sz w:val="24"/>
          <w:szCs w:val="24"/>
        </w:rPr>
        <w:t xml:space="preserve">Zandbergen, René. 'The Voynich Manuscript: Transliteration of the Text.' voynich.nu/transcr.html. Updated May 2025.</w:t>
      </w:r>
    </w:p>
    <w:p>
      <w:pPr>
        <w:spacing w:after="160"/>
      </w:pPr>
      <w:r>
        <w:rPr>
          <w:sz w:val="24"/>
          <w:szCs w:val="24"/>
        </w:rPr>
        <w:t xml:space="preserve">Zandbergen, René, and Gabriel Landini. </w:t>
      </w:r>
      <w:r>
        <w:rPr>
          <w:i/>
          <w:iCs/>
          <w:sz w:val="24"/>
          <w:szCs w:val="24"/>
        </w:rPr>
        <w:t xml:space="preserve">ZL3b-n EVA Transcription File</w:t>
      </w:r>
      <w:r>
        <w:rPr>
          <w:sz w:val="24"/>
          <w:szCs w:val="24"/>
        </w:rPr>
        <w:t xml:space="preserve">, version 3b. voynich.nu/data/ZL3b-n.txt. May 2025.</w:t>
      </w:r>
    </w:p>
    <w:p>
      <w:pPr>
        <w:spacing w:after="160"/>
      </w:pPr>
      <w:r>
        <w:rPr>
          <w:sz w:val="24"/>
          <w:szCs w:val="24"/>
        </w:rPr>
        <w:t xml:space="preserve">Zonta, Mauro. </w:t>
      </w:r>
      <w:r>
        <w:rPr>
          <w:i/>
          <w:iCs/>
          <w:sz w:val="24"/>
          <w:szCs w:val="24"/>
        </w:rPr>
        <w:t xml:space="preserve">Il Commento medio di Averroe alla Metafisica di Aristotele nella tradizione ebraica</w:t>
      </w:r>
      <w:r>
        <w:rPr>
          <w:sz w:val="24"/>
          <w:szCs w:val="24"/>
        </w:rPr>
        <w:t xml:space="preserve">. Pavia University Press, 2011.</w:t>
      </w:r>
    </w:p>
    <w:p>
      <w:pPr>
        <w:spacing w:after="80"/>
      </w:pPr>
      <w:r>
        <w:rPr>
          <w:sz w:val="24"/>
          <w:szCs w:val="24"/>
        </w:rPr>
        <w:t xml:space="preserve"/>
      </w:r>
    </w:p>
    <w:p>
      <w:pPr>
        <w:spacing w:after="80"/>
      </w:pPr>
      <w:r>
        <w:rPr>
          <w:sz w:val="24"/>
          <w:szCs w:val="24"/>
        </w:rPr>
        <w:t xml:space="preserve"/>
      </w:r>
    </w:p>
    <w:p>
      <w:pPr>
        <w:pBdr>
          <w:top w:val="single" w:color="CCCCCC" w:sz="2" w:space="1"/>
        </w:pBdr>
        <w:spacing w:after="80" w:before="240"/>
      </w:pPr>
      <w:r>
        <w:rPr>
          <w:color w:val="888888"/>
          <w:sz w:val="18"/>
          <w:szCs w:val="18"/>
        </w:rPr>
        <w:t xml:space="preserve">Document Date: May 2026  |  Status: Version 3.0 — First-person singular; Voices / Jury / Bench corrected  |  Next Phase: Statistical replication package; ibn Tibbon concordance; Beinecke codicological inquiry</w:t>
      </w:r>
    </w:p>
    <w:p>
      <w:pPr>
        <w:spacing w:after="80"/>
        <w:jc w:val="center"/>
      </w:pPr>
      <w:r>
        <w:rPr>
          <w:i/>
          <w:iCs/>
          <w:color w:val="4A6A9A"/>
          <w:sz w:val="22"/>
          <w:szCs w:val="22"/>
        </w:rPr>
        <w:t xml:space="preserve">"Six hundred years of silence. The first word was a color. The language answers."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Gonzalez — Voynich MS as Avicenna's Canon — p. </w:t>
    </w:r>
    <w:fldSimple w:instr="PAGE">
      <w:r>
        <w:rPr>
          <w:color w:val="888888"/>
          <w:sz w:val="18"/>
          <w:szCs w:val="18"/>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2E4A7A"/>
      <w:sz w:val="28"/>
      <w:szCs w:val="28"/>
    </w:rPr>
  </w:style>
  <w:style w:type="paragraph" w:styleId="Heading2">
    <w:name w:val="Heading 2"/>
    <w:basedOn w:val="Normal"/>
    <w:next w:val="Normal"/>
    <w:qFormat/>
    <w:pPr>
      <w:spacing w:after="140" w:before="280"/>
      <w:outlineLvl w:val="1"/>
    </w:pPr>
    <w:rPr>
      <w:rFonts w:ascii="Arial" w:cs="Arial" w:eastAsia="Arial" w:hAnsi="Arial"/>
      <w:b/>
      <w:bCs/>
      <w:color w:val="2E4A7A"/>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4A6A9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2026-05-06T23:51:42.637Z</dcterms:created>
  <dcterms:modified xsi:type="dcterms:W3CDTF">2026-05-06T23:51:42.651Z</dcterms:modified>
</cp:coreProperties>
</file>

<file path=docProps/custom.xml><?xml version="1.0" encoding="utf-8"?>
<Properties xmlns="http://schemas.openxmlformats.org/officeDocument/2006/custom-properties" xmlns:vt="http://schemas.openxmlformats.org/officeDocument/2006/docPropsVTypes"/>
</file>