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rPr>
        <w:t xml:space="preserve">Section 4 — Morphological Structure of the Voynichese Lexicon</w:t>
      </w:r>
    </w:p>
    <w:p/>
    <w:p>
      <w:pPr>
        <w:jc w:val="right"/>
      </w:pPr>
      <w:r>
        <w:rPr>
          <w:rFonts w:ascii="Times New Roman" w:cs="Times New Roman" w:eastAsia="Times New Roman" w:hAnsi="Times New Roman"/>
          <w:i/>
          <w:iCs/>
          <w:sz w:val="18"/>
          <w:szCs w:val="18"/>
        </w:rPr>
        <w:t xml:space="preserve">[MODE: UK]</w:t>
      </w:r>
    </w:p>
    <w:p>
      <w:pPr>
        <w:jc w:val="right"/>
      </w:pPr>
      <w:r>
        <w:rPr>
          <w:rFonts w:ascii="Times New Roman" w:cs="Times New Roman" w:eastAsia="Times New Roman" w:hAnsi="Times New Roman"/>
          <w:i/>
          <w:iCs/>
          <w:sz w:val="18"/>
          <w:szCs w:val="18"/>
        </w:rPr>
        <w:t xml:space="preserve">[VERSION: paradigm-evidence-v1]</w:t>
      </w:r>
    </w:p>
    <w:p/>
    <w:p>
      <w:pPr>
        <w:pStyle w:val="Heading2"/>
      </w:pPr>
      <w:r>
        <w:rPr>
          <w:rFonts w:ascii="Times New Roman" w:cs="Times New Roman" w:eastAsia="Times New Roman" w:hAnsi="Times New Roman"/>
          <w:b/>
          <w:bCs/>
        </w:rPr>
        <w:t xml:space="preserve">4.1 The Paradigm Hypothesis</w:t>
      </w:r>
    </w:p>
    <w:p/>
    <w:p>
      <w:pPr>
        <w:spacing w:after="120"/>
      </w:pPr>
      <w:r>
        <w:rPr>
          <w:rFonts w:ascii="Times New Roman" w:cs="Times New Roman" w:eastAsia="Times New Roman" w:hAnsi="Times New Roman"/>
          <w:sz w:val="22"/>
          <w:szCs w:val="22"/>
        </w:rPr>
        <w:t xml:space="preserve">The central morphological claim of this study is structural rather than semantic. The Voynichese lexicon is organised through </w:t>
      </w:r>
      <w:r>
        <w:rPr>
          <w:rFonts w:ascii="Times New Roman" w:cs="Times New Roman" w:eastAsia="Times New Roman" w:hAnsi="Times New Roman"/>
          <w:b/>
          <w:bCs/>
          <w:sz w:val="22"/>
          <w:szCs w:val="22"/>
        </w:rPr>
        <w:t xml:space="preserve">paradigmatic productive morphology</w:t>
      </w:r>
      <w:r>
        <w:rPr>
          <w:rFonts w:ascii="Times New Roman" w:cs="Times New Roman" w:eastAsia="Times New Roman" w:hAnsi="Times New Roman"/>
          <w:sz w:val="22"/>
          <w:szCs w:val="22"/>
        </w:rPr>
        <w:t xml:space="preserve">: a closed inventory of stems combines with a closed inventory of leftward clitics to generate the attested word forms. The paradigmatic structure is not assumed but emerges from distributional analysis of the Zandbergen-Landini transcription (ZL3b, May 2025), and survives the natural falsification test of randomisation: a corpus generated by character-level shuffling produces no comparable structure.</w:t>
      </w:r>
    </w:p>
    <w:p/>
    <w:p>
      <w:pPr>
        <w:spacing w:after="120"/>
      </w:pPr>
      <w:r>
        <w:rPr>
          <w:rFonts w:ascii="Times New Roman" w:cs="Times New Roman" w:eastAsia="Times New Roman" w:hAnsi="Times New Roman"/>
          <w:sz w:val="22"/>
          <w:szCs w:val="22"/>
        </w:rPr>
        <w:t xml:space="preserve">This section reports the structural findings, the falsification test, and the consistency of clitic behaviour across host stems. Semantic interpretation of the morphemes — that is, what each clitic </w:t>
      </w:r>
      <w:r>
        <w:rPr>
          <w:rFonts w:ascii="Times New Roman" w:cs="Times New Roman" w:eastAsia="Times New Roman" w:hAnsi="Times New Roman"/>
          <w:i/>
          <w:iCs/>
          <w:sz w:val="22"/>
          <w:szCs w:val="22"/>
        </w:rPr>
        <w:t xml:space="preserve">means</w:t>
      </w:r>
      <w:r>
        <w:rPr>
          <w:rFonts w:ascii="Times New Roman" w:cs="Times New Roman" w:eastAsia="Times New Roman" w:hAnsi="Times New Roman"/>
          <w:sz w:val="22"/>
          <w:szCs w:val="22"/>
        </w:rPr>
        <w:t xml:space="preserve"> — is treated separately and with greater hedging in §4.4. The structural claims of §4.1–§4.3 are independent of any semantic gloss and stand on the distributional evidence alone.</w:t>
      </w:r>
    </w:p>
    <w:p/>
    <w:p>
      <w:pPr>
        <w:pStyle w:val="Heading2"/>
      </w:pPr>
      <w:r>
        <w:rPr>
          <w:rFonts w:ascii="Times New Roman" w:cs="Times New Roman" w:eastAsia="Times New Roman" w:hAnsi="Times New Roman"/>
          <w:b/>
          <w:bCs/>
        </w:rPr>
        <w:t xml:space="preserve">4.2 Method</w:t>
      </w:r>
    </w:p>
    <w:p/>
    <w:p>
      <w:pPr>
        <w:spacing w:after="120"/>
      </w:pPr>
      <w:r>
        <w:rPr>
          <w:rFonts w:ascii="Times New Roman" w:cs="Times New Roman" w:eastAsia="Times New Roman" w:hAnsi="Times New Roman"/>
          <w:sz w:val="22"/>
          <w:szCs w:val="22"/>
        </w:rPr>
        <w:t xml:space="preserve">The corpus was tokenised from ZL3b using a deterministic procedure documented in the supplementary materials. Each line beginning with a content locus tag was extracted; alternate readings of the form </w:t>
      </w:r>
      <w:r>
        <w:rPr>
          <w:rFonts w:ascii="Courier New" w:cs="Courier New" w:eastAsia="Courier New" w:hAnsi="Courier New"/>
          <w:sz w:val="22"/>
          <w:szCs w:val="22"/>
        </w:rPr>
        <w:t xml:space="preserve">[a:b]</w:t>
      </w:r>
      <w:r>
        <w:rPr>
          <w:rFonts w:ascii="Times New Roman" w:cs="Times New Roman" w:eastAsia="Times New Roman" w:hAnsi="Times New Roman"/>
          <w:sz w:val="22"/>
          <w:szCs w:val="22"/>
        </w:rPr>
        <w:t xml:space="preserve"> were resolved to the first option throughout; scribal annotations of the form </w:t>
      </w:r>
      <w:r>
        <w:rPr>
          <w:rFonts w:ascii="Courier New" w:cs="Courier New" w:eastAsia="Courier New" w:hAnsi="Courier New"/>
          <w:sz w:val="22"/>
          <w:szCs w:val="22"/>
        </w:rPr>
        <w:t xml:space="preserve">{c@N;h}</w:t>
      </w:r>
      <w:r>
        <w:rPr>
          <w:rFonts w:ascii="Times New Roman" w:cs="Times New Roman" w:eastAsia="Times New Roman" w:hAnsi="Times New Roman"/>
          <w:sz w:val="22"/>
          <w:szCs w:val="22"/>
        </w:rPr>
        <w:t xml:space="preserve"> were discarded; the </w:t>
      </w:r>
      <w:r>
        <w:rPr>
          <w:rFonts w:ascii="Courier New" w:cs="Courier New" w:eastAsia="Courier New" w:hAnsi="Courier New"/>
          <w:sz w:val="22"/>
          <w:szCs w:val="22"/>
        </w:rPr>
        <w:t xml:space="preserve">&lt;-&gt;</w:t>
      </w:r>
      <w:r>
        <w:rPr>
          <w:rFonts w:ascii="Times New Roman" w:cs="Times New Roman" w:eastAsia="Times New Roman" w:hAnsi="Times New Roman"/>
          <w:sz w:val="22"/>
          <w:szCs w:val="22"/>
        </w:rPr>
        <w:t xml:space="preserve"> paragraph break was treated as a token separator. The resulting corpus comprises 38,962 tokens across 227 distinct folio identifiers (including sub-folio designations for the cosmological foldouts and the rosette folio).</w:t>
      </w:r>
    </w:p>
    <w:p/>
    <w:p>
      <w:pPr>
        <w:spacing w:after="120"/>
      </w:pPr>
      <w:r>
        <w:rPr>
          <w:rFonts w:ascii="Times New Roman" w:cs="Times New Roman" w:eastAsia="Times New Roman" w:hAnsi="Times New Roman"/>
          <w:sz w:val="22"/>
          <w:szCs w:val="22"/>
        </w:rPr>
        <w:t xml:space="preserve">For each token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and each candidate clitic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rPr>
        <w:t xml:space="preserve"> drawn from the inventory </w:t>
      </w:r>
      <w:r>
        <w:rPr>
          <w:rFonts w:ascii="Courier New" w:cs="Courier New" w:eastAsia="Courier New" w:hAnsi="Courier New"/>
          <w:sz w:val="22"/>
          <w:szCs w:val="22"/>
        </w:rPr>
        <w:t xml:space="preserve">{d, s, t, k, l, y, q, qo, qok, qot, ok, ot, ol, or, sh, ch, cth, p, r, o}</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was classified as a clitic-derived form of stem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if and only if (i)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begins with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rPr>
        <w:t xml:space="preserve">, (ii) the residue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is itself attested in the corpus with frequency at least three, and (iii) the residue is at least two characters in length. This procedure is conservative: it admits a token to the paradigm matrix only when the proposed stem is independently attested.</w:t>
      </w:r>
    </w:p>
    <w:p/>
    <w:p>
      <w:pPr>
        <w:spacing w:after="120"/>
      </w:pPr>
      <w:r>
        <w:rPr>
          <w:rFonts w:ascii="Times New Roman" w:cs="Times New Roman" w:eastAsia="Times New Roman" w:hAnsi="Times New Roman"/>
          <w:sz w:val="22"/>
          <w:szCs w:val="22"/>
        </w:rPr>
        <w:t xml:space="preserve">The matrix </w:t>
      </w:r>
      <w:r>
        <w:rPr>
          <w:rFonts w:ascii="Courier New" w:cs="Courier New" w:eastAsia="Courier New" w:hAnsi="Courier New"/>
          <w:sz w:val="22"/>
          <w:szCs w:val="22"/>
        </w:rPr>
        <w:t xml:space="preserve">M[S][C]</w:t>
      </w:r>
      <w:r>
        <w:rPr>
          <w:rFonts w:ascii="Times New Roman" w:cs="Times New Roman" w:eastAsia="Times New Roman" w:hAnsi="Times New Roman"/>
          <w:sz w:val="22"/>
          <w:szCs w:val="22"/>
        </w:rPr>
        <w:t xml:space="preserve"> records the corpus frequency of the form </w:t>
      </w:r>
      <w:r>
        <w:rPr>
          <w:rFonts w:ascii="Courier New" w:cs="Courier New" w:eastAsia="Courier New" w:hAnsi="Courier New"/>
          <w:sz w:val="22"/>
          <w:szCs w:val="22"/>
        </w:rPr>
        <w:t xml:space="preserve">C+S</w:t>
      </w:r>
      <w:r>
        <w:rPr>
          <w:rFonts w:ascii="Times New Roman" w:cs="Times New Roman" w:eastAsia="Times New Roman" w:hAnsi="Times New Roman"/>
          <w:sz w:val="22"/>
          <w:szCs w:val="22"/>
        </w:rPr>
        <w:t xml:space="preserve">. Cores were classified as productive when at least four distinct clitics attached to them with cumulative frequency at least 30. Behavioural fingerprints — clause-initial position rate, Currier language A versus B distribution — were computed for each clitic-derived form using the metadata fields </w:t>
      </w:r>
      <w:r>
        <w:rPr>
          <w:rFonts w:ascii="Courier New" w:cs="Courier New" w:eastAsia="Courier New" w:hAnsi="Courier New"/>
          <w:sz w:val="22"/>
          <w:szCs w:val="22"/>
        </w:rPr>
        <w:t xml:space="preserve">$L</w:t>
      </w:r>
      <w:r>
        <w:rPr>
          <w:rFonts w:ascii="Times New Roman" w:cs="Times New Roman" w:eastAsia="Times New Roman" w:hAnsi="Times New Roman"/>
          <w:sz w:val="22"/>
          <w:szCs w:val="22"/>
        </w:rPr>
        <w:t xml:space="preserve"> and the locus tag prefix indicating paragraph-initial position.</w:t>
      </w:r>
    </w:p>
    <w:p/>
    <w:p>
      <w:pPr>
        <w:pStyle w:val="Heading2"/>
      </w:pPr>
      <w:r>
        <w:rPr>
          <w:rFonts w:ascii="Times New Roman" w:cs="Times New Roman" w:eastAsia="Times New Roman" w:hAnsi="Times New Roman"/>
          <w:b/>
          <w:bCs/>
        </w:rPr>
        <w:t xml:space="preserve">4.3 Results</w:t>
      </w:r>
    </w:p>
    <w:p/>
    <w:p>
      <w:pPr>
        <w:pStyle w:val="Heading3"/>
      </w:pPr>
      <w:r>
        <w:rPr>
          <w:rFonts w:ascii="Times New Roman" w:cs="Times New Roman" w:eastAsia="Times New Roman" w:hAnsi="Times New Roman"/>
          <w:b/>
          <w:bCs/>
        </w:rPr>
        <w:t xml:space="preserve">4.3.1 The paradigm matrix</w:t>
      </w:r>
    </w:p>
    <w:p/>
    <w:p>
      <w:pPr>
        <w:spacing w:after="120"/>
      </w:pPr>
      <w:r>
        <w:rPr>
          <w:rFonts w:ascii="Times New Roman" w:cs="Times New Roman" w:eastAsia="Times New Roman" w:hAnsi="Times New Roman"/>
          <w:sz w:val="22"/>
          <w:szCs w:val="22"/>
        </w:rPr>
        <w:t xml:space="preserve">Ninety-five distinct stems satisfy the productivity threshold, with a mean of 8.4 distinct clitics per productive stem. Twenty stems take fifteen or more distinct clitics. The distribution of stem types is bimodal: one cluster comprises stems ending in a vowel-sonorant sequence (</w:t>
      </w:r>
      <w:r>
        <w:rPr>
          <w:rFonts w:ascii="Times New Roman" w:cs="Times New Roman" w:eastAsia="Times New Roman" w:hAnsi="Times New Roman"/>
          <w:i/>
          <w:iCs/>
          <w:sz w:val="22"/>
          <w:szCs w:val="22"/>
        </w:rPr>
        <w:t xml:space="preserve">aiin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ain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eey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eedy</w:t>
      </w:r>
      <w:r>
        <w:rPr>
          <w:rFonts w:ascii="Times New Roman" w:cs="Times New Roman" w:eastAsia="Times New Roman" w:hAnsi="Times New Roman"/>
          <w:sz w:val="22"/>
          <w:szCs w:val="22"/>
        </w:rPr>
        <w:t xml:space="preserve">), a second cluster comprises stems beginning with </w:t>
      </w:r>
      <w:r>
        <w:rPr>
          <w:rFonts w:ascii="Courier New" w:cs="Courier New" w:eastAsia="Courier New" w:hAnsi="Courier New"/>
          <w:sz w:val="22"/>
          <w:szCs w:val="22"/>
        </w:rPr>
        <w:t xml:space="preserve">ch-</w:t>
      </w:r>
      <w:r>
        <w:rPr>
          <w:rFonts w:ascii="Times New Roman" w:cs="Times New Roman" w:eastAsia="Times New Roman" w:hAnsi="Times New Roman"/>
          <w:sz w:val="22"/>
          <w:szCs w:val="22"/>
        </w:rPr>
        <w:t xml:space="preserve"> or </w:t>
      </w:r>
      <w:r>
        <w:rPr>
          <w:rFonts w:ascii="Courier New" w:cs="Courier New" w:eastAsia="Courier New" w:hAnsi="Courier New"/>
          <w:sz w:val="22"/>
          <w:szCs w:val="22"/>
        </w:rPr>
        <w:t xml:space="preserve">sh-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chedy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chey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chy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chol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chor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chdy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shedy</w:t>
      </w:r>
      <w:r>
        <w:rPr>
          <w:rFonts w:ascii="Times New Roman" w:cs="Times New Roman" w:eastAsia="Times New Roman" w:hAnsi="Times New Roman"/>
          <w:sz w:val="22"/>
          <w:szCs w:val="22"/>
        </w:rPr>
        <w:t xml:space="preserve">). The two clusters share a common core inventory of clitics — chiefly </w:t>
      </w:r>
      <w:r>
        <w:rPr>
          <w:rFonts w:ascii="Courier New" w:cs="Courier New" w:eastAsia="Courier New" w:hAnsi="Courier New"/>
          <w:sz w:val="22"/>
          <w:szCs w:val="22"/>
        </w:rPr>
        <w:t xml:space="preserve">ot-</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ok-</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qot-</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qok-</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t-</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k-</w:t>
      </w:r>
      <w:r>
        <w:rPr>
          <w:rFonts w:ascii="Times New Roman" w:cs="Times New Roman" w:eastAsia="Times New Roman" w:hAnsi="Times New Roman"/>
          <w:sz w:val="22"/>
          <w:szCs w:val="22"/>
        </w:rPr>
        <w:t xml:space="preserve"> — but differ in their peripheral combinatorics, with the second cluster taking a narrower set of clitics overall.</w:t>
      </w:r>
    </w:p>
    <w:p/>
    <w:p>
      <w:pPr>
        <w:spacing w:after="120"/>
      </w:pPr>
      <w:r>
        <w:rPr>
          <w:rFonts w:ascii="Times New Roman" w:cs="Times New Roman" w:eastAsia="Times New Roman" w:hAnsi="Times New Roman"/>
          <w:sz w:val="22"/>
          <w:szCs w:val="22"/>
        </w:rPr>
        <w:t xml:space="preserve">A subset of stems exhibits the further phenomenon of bound roots: </w:t>
      </w:r>
      <w:r>
        <w:rPr>
          <w:rFonts w:ascii="Times New Roman" w:cs="Times New Roman" w:eastAsia="Times New Roman" w:hAnsi="Times New Roman"/>
          <w:i/>
          <w:iCs/>
          <w:sz w:val="22"/>
          <w:szCs w:val="22"/>
        </w:rPr>
        <w:t xml:space="preserve">eey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eedy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eol</w:t>
      </w:r>
      <w:r>
        <w:rPr>
          <w:rFonts w:ascii="Times New Roman" w:cs="Times New Roman" w:eastAsia="Times New Roman" w:hAnsi="Times New Roman"/>
          <w:sz w:val="22"/>
          <w:szCs w:val="22"/>
        </w:rPr>
        <w:t xml:space="preserve"> are attested standalone with frequencies of ten or fewer, yet appear with clitics over a thousand times each. These stems exist in the corpus essentially only in derived form — a pattern characteristic of root-and-pattern morphological systems in which the bare root cannot stand as a free word and surfaces only through derivational morphology.</w:t>
      </w:r>
    </w:p>
    <w:p/>
    <w:p>
      <w:pPr>
        <w:pStyle w:val="Heading3"/>
      </w:pPr>
      <w:r>
        <w:rPr>
          <w:rFonts w:ascii="Times New Roman" w:cs="Times New Roman" w:eastAsia="Times New Roman" w:hAnsi="Times New Roman"/>
          <w:b/>
          <w:bCs/>
        </w:rPr>
        <w:t xml:space="preserve">4.3.2 Falsification by randomisation</w:t>
      </w:r>
    </w:p>
    <w:p/>
    <w:p>
      <w:pPr>
        <w:spacing w:after="120"/>
      </w:pPr>
      <w:r>
        <w:rPr>
          <w:rFonts w:ascii="Times New Roman" w:cs="Times New Roman" w:eastAsia="Times New Roman" w:hAnsi="Times New Roman"/>
          <w:sz w:val="22"/>
          <w:szCs w:val="22"/>
        </w:rPr>
        <w:t xml:space="preserve">To establish that the paradigm structure is not an artefact of the analytical procedure, the same matrix was computed on five control corpora. Each control was generated by replacing every token in the corpus with a random string of identical length, drawing characters from the corpus character-frequency distribution. This procedure preserves the marginal statistics — character frequencies, token-length distribution, total token count — while destroying any systematic relation between stems and clitics.</w:t>
      </w:r>
    </w:p>
    <w:p/>
    <w:p>
      <w:pPr>
        <w:spacing w:after="120"/>
      </w:pPr>
      <w:r>
        <w:rPr>
          <w:rFonts w:ascii="Times New Roman" w:cs="Times New Roman" w:eastAsia="Times New Roman" w:hAnsi="Times New Roman"/>
          <w:sz w:val="22"/>
          <w:szCs w:val="22"/>
        </w:rPr>
        <w:t xml:space="preserve">The contrast is decisive. The actual corpus shows ninety-four stems taking four or more distinct clitics, with a maximum of seventeen clitics on a single stem. The control corpora show, on average, zero stems with four or more distinct clitics, with a maximum of two clitics on any stem. The actual corpus shows 126 stems with thirty or more clitic-derived attestations; the controls show on average three (z = 41). The probability of the observed clitic-stem combinatorics arising under a null model of random word formation is below any conventional significance threshold.</w:t>
      </w:r>
    </w:p>
    <w:p/>
    <w:p>
      <w:pPr>
        <w:spacing w:after="120"/>
      </w:pPr>
      <w:r>
        <w:rPr>
          <w:rFonts w:ascii="Times New Roman" w:cs="Times New Roman" w:eastAsia="Times New Roman" w:hAnsi="Times New Roman"/>
          <w:sz w:val="22"/>
          <w:szCs w:val="22"/>
        </w:rPr>
        <w:t xml:space="preserve">This result rules out the hypothesis that the apparent paradigm structure is an artefact of the matching procedure or a consequence of the corpus's character-level statistics. Whatever process generated the Voynichese lexicon, that process produced systematic clitic-stem combinatorics that random word generation cannot reproduce.</w:t>
      </w:r>
    </w:p>
    <w:p/>
    <w:p>
      <w:pPr>
        <w:pStyle w:val="Heading3"/>
      </w:pPr>
      <w:r>
        <w:rPr>
          <w:rFonts w:ascii="Times New Roman" w:cs="Times New Roman" w:eastAsia="Times New Roman" w:hAnsi="Times New Roman"/>
          <w:b/>
          <w:bCs/>
        </w:rPr>
        <w:t xml:space="preserve">4.3.3 Clitic behavioural consistency</w:t>
      </w:r>
    </w:p>
    <w:p/>
    <w:p>
      <w:pPr>
        <w:spacing w:after="120"/>
      </w:pPr>
      <w:r>
        <w:rPr>
          <w:rFonts w:ascii="Times New Roman" w:cs="Times New Roman" w:eastAsia="Times New Roman" w:hAnsi="Times New Roman"/>
          <w:sz w:val="22"/>
          <w:szCs w:val="22"/>
        </w:rPr>
        <w:t xml:space="preserve">For each clitic, the set of derived forms exhibits a characteristic distributional profile that is broadly consistent across the host stems. Three classes are distinguishable on positional and register grounds.</w:t>
      </w:r>
    </w:p>
    <w:p/>
    <w:p>
      <w:pPr>
        <w:spacing w:after="120"/>
      </w:pPr>
      <w:r>
        <w:rPr>
          <w:rFonts w:ascii="Times New Roman" w:cs="Times New Roman" w:eastAsia="Times New Roman" w:hAnsi="Times New Roman"/>
          <w:b/>
          <w:bCs/>
          <w:sz w:val="22"/>
          <w:szCs w:val="22"/>
        </w:rPr>
        <w:t xml:space="preserve">Clause-initial particles</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y-</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s-</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t-</w:t>
      </w:r>
      <w:r>
        <w:rPr>
          <w:rFonts w:ascii="Times New Roman" w:cs="Times New Roman" w:eastAsia="Times New Roman" w:hAnsi="Times New Roman"/>
          <w:sz w:val="22"/>
          <w:szCs w:val="22"/>
        </w:rPr>
        <w:t xml:space="preserve">) attach to host stems and shift the resulting form toward clause-initial position. Across all derived forms, </w:t>
      </w:r>
      <w:r>
        <w:rPr>
          <w:rFonts w:ascii="Courier New" w:cs="Courier New" w:eastAsia="Courier New" w:hAnsi="Courier New"/>
          <w:sz w:val="22"/>
          <w:szCs w:val="22"/>
        </w:rPr>
        <w:t xml:space="preserve">y-</w:t>
      </w:r>
      <w:r>
        <w:rPr>
          <w:rFonts w:ascii="Times New Roman" w:cs="Times New Roman" w:eastAsia="Times New Roman" w:hAnsi="Times New Roman"/>
          <w:sz w:val="22"/>
          <w:szCs w:val="22"/>
        </w:rPr>
        <w:t xml:space="preserve"> produces tokens that occupy clause-initial position in 44.1 per cent of attestations against a corpus baseline of 15.8 per cent; </w:t>
      </w:r>
      <w:r>
        <w:rPr>
          <w:rFonts w:ascii="Courier New" w:cs="Courier New" w:eastAsia="Courier New" w:hAnsi="Courier New"/>
          <w:sz w:val="22"/>
          <w:szCs w:val="22"/>
        </w:rPr>
        <w:t xml:space="preserve">s-</w:t>
      </w:r>
      <w:r>
        <w:rPr>
          <w:rFonts w:ascii="Times New Roman" w:cs="Times New Roman" w:eastAsia="Times New Roman" w:hAnsi="Times New Roman"/>
          <w:sz w:val="22"/>
          <w:szCs w:val="22"/>
        </w:rPr>
        <w:t xml:space="preserve"> produces tokens at 54.1 per cent clause-initial; </w:t>
      </w:r>
      <w:r>
        <w:rPr>
          <w:rFonts w:ascii="Courier New" w:cs="Courier New" w:eastAsia="Courier New" w:hAnsi="Courier New"/>
          <w:sz w:val="22"/>
          <w:szCs w:val="22"/>
        </w:rPr>
        <w:t xml:space="preserve">t-</w:t>
      </w:r>
      <w:r>
        <w:rPr>
          <w:rFonts w:ascii="Times New Roman" w:cs="Times New Roman" w:eastAsia="Times New Roman" w:hAnsi="Times New Roman"/>
          <w:sz w:val="22"/>
          <w:szCs w:val="22"/>
        </w:rPr>
        <w:t xml:space="preserve"> at 41.5 per cent. The behavioural shift is reliable across multiple host stems: the standard deviation of </w:t>
      </w:r>
      <w:r>
        <w:rPr>
          <w:rFonts w:ascii="Courier New" w:cs="Courier New" w:eastAsia="Courier New" w:hAnsi="Courier New"/>
          <w:sz w:val="22"/>
          <w:szCs w:val="22"/>
        </w:rPr>
        <w:t xml:space="preserve">y-</w:t>
      </w:r>
      <w:r>
        <w:rPr>
          <w:rFonts w:ascii="Times New Roman" w:cs="Times New Roman" w:eastAsia="Times New Roman" w:hAnsi="Times New Roman"/>
          <w:sz w:val="22"/>
          <w:szCs w:val="22"/>
        </w:rPr>
        <w:t xml:space="preserve">'s effect across six tested stems is 15.4 percentage points, with all six attested means substantially above baseline. The class-level signature is consistent with a function-word role analogous to clause-introducing particles, topic markers, or vocatives in attested Semitic morphology.</w:t>
      </w:r>
    </w:p>
    <w:p/>
    <w:p>
      <w:pPr>
        <w:spacing w:after="120"/>
      </w:pPr>
      <w:r>
        <w:rPr>
          <w:rFonts w:ascii="Times New Roman" w:cs="Times New Roman" w:eastAsia="Times New Roman" w:hAnsi="Times New Roman"/>
          <w:b/>
          <w:bCs/>
          <w:sz w:val="22"/>
          <w:szCs w:val="22"/>
        </w:rPr>
        <w:t xml:space="preserve">Register-restricted prefixes</w:t>
      </w:r>
      <w:r>
        <w:rPr>
          <w:rFonts w:ascii="Times New Roman" w:cs="Times New Roman" w:eastAsia="Times New Roman" w:hAnsi="Times New Roman"/>
          <w:sz w:val="22"/>
          <w:szCs w:val="22"/>
        </w:rPr>
        <w:t xml:space="preserve"> show consistent skew toward one Currier language hand or the other. The prefix </w:t>
      </w:r>
      <w:r>
        <w:rPr>
          <w:rFonts w:ascii="Courier New" w:cs="Courier New" w:eastAsia="Courier New" w:hAnsi="Courier New"/>
          <w:sz w:val="22"/>
          <w:szCs w:val="22"/>
        </w:rPr>
        <w:t xml:space="preserve">cth-</w:t>
      </w:r>
      <w:r>
        <w:rPr>
          <w:rFonts w:ascii="Times New Roman" w:cs="Times New Roman" w:eastAsia="Times New Roman" w:hAnsi="Times New Roman"/>
          <w:sz w:val="22"/>
          <w:szCs w:val="22"/>
        </w:rPr>
        <w:t xml:space="preserve"> produces derived forms that fall in Currier language A in 86.5 per cent of attestations against a corpus baseline of 29.8 per cent A, with cross-stem standard deviation of 11.2 percentage points. The prefix </w:t>
      </w:r>
      <w:r>
        <w:rPr>
          <w:rFonts w:ascii="Courier New" w:cs="Courier New" w:eastAsia="Courier New" w:hAnsi="Courier New"/>
          <w:sz w:val="22"/>
          <w:szCs w:val="22"/>
        </w:rPr>
        <w:t xml:space="preserve">l-</w:t>
      </w:r>
      <w:r>
        <w:rPr>
          <w:rFonts w:ascii="Times New Roman" w:cs="Times New Roman" w:eastAsia="Times New Roman" w:hAnsi="Times New Roman"/>
          <w:sz w:val="22"/>
          <w:szCs w:val="22"/>
        </w:rPr>
        <w:t xml:space="preserve"> shows the inverse: 95.6 per cent of </w:t>
      </w:r>
      <w:r>
        <w:rPr>
          <w:rFonts w:ascii="Courier New" w:cs="Courier New" w:eastAsia="Courier New" w:hAnsi="Courier New"/>
          <w:sz w:val="22"/>
          <w:szCs w:val="22"/>
        </w:rPr>
        <w:t xml:space="preserve">l-</w:t>
      </w:r>
      <w:r>
        <w:rPr>
          <w:rFonts w:ascii="Times New Roman" w:cs="Times New Roman" w:eastAsia="Times New Roman" w:hAnsi="Times New Roman"/>
          <w:sz w:val="22"/>
          <w:szCs w:val="22"/>
        </w:rPr>
        <w:t xml:space="preserve">-derived forms occur in Currier language B, against a corpus baseline of 61.7 per cent. The cross-stem standard deviation for </w:t>
      </w:r>
      <w:r>
        <w:rPr>
          <w:rFonts w:ascii="Courier New" w:cs="Courier New" w:eastAsia="Courier New" w:hAnsi="Courier New"/>
          <w:sz w:val="22"/>
          <w:szCs w:val="22"/>
        </w:rPr>
        <w:t xml:space="preserve">l-</w:t>
      </w:r>
      <w:r>
        <w:rPr>
          <w:rFonts w:ascii="Times New Roman" w:cs="Times New Roman" w:eastAsia="Times New Roman" w:hAnsi="Times New Roman"/>
          <w:sz w:val="22"/>
          <w:szCs w:val="22"/>
        </w:rPr>
        <w:t xml:space="preserve"> is 3.3 percentage points — that is, every host stem to which </w:t>
      </w:r>
      <w:r>
        <w:rPr>
          <w:rFonts w:ascii="Courier New" w:cs="Courier New" w:eastAsia="Courier New" w:hAnsi="Courier New"/>
          <w:sz w:val="22"/>
          <w:szCs w:val="22"/>
        </w:rPr>
        <w:t xml:space="preserve">l-</w:t>
      </w:r>
      <w:r>
        <w:rPr>
          <w:rFonts w:ascii="Times New Roman" w:cs="Times New Roman" w:eastAsia="Times New Roman" w:hAnsi="Times New Roman"/>
          <w:sz w:val="22"/>
          <w:szCs w:val="22"/>
        </w:rPr>
        <w:t xml:space="preserve"> attaches yields a derived form found almost exclusively in Currier B. These extreme and consistent register restrictions are difficult to explain except as grammatically conditioned distribution.</w:t>
      </w:r>
    </w:p>
    <w:p/>
    <w:p>
      <w:pPr>
        <w:spacing w:after="120"/>
      </w:pPr>
      <w:r>
        <w:rPr>
          <w:rFonts w:ascii="Times New Roman" w:cs="Times New Roman" w:eastAsia="Times New Roman" w:hAnsi="Times New Roman"/>
          <w:b/>
          <w:bCs/>
          <w:sz w:val="22"/>
          <w:szCs w:val="22"/>
        </w:rPr>
        <w:t xml:space="preserve">Modal/operational prefixes</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q-</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qo-</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qok-</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qot-</w:t>
      </w:r>
      <w:r>
        <w:rPr>
          <w:rFonts w:ascii="Times New Roman" w:cs="Times New Roman" w:eastAsia="Times New Roman" w:hAnsi="Times New Roman"/>
          <w:sz w:val="22"/>
          <w:szCs w:val="22"/>
        </w:rPr>
        <w:t xml:space="preserve">) are heavily Currier-B-skewed and clause-medial. The cluster includes the most productive prefixes in the corpus: </w:t>
      </w:r>
      <w:r>
        <w:rPr>
          <w:rFonts w:ascii="Courier New" w:cs="Courier New" w:eastAsia="Courier New" w:hAnsi="Courier New"/>
          <w:sz w:val="22"/>
          <w:szCs w:val="22"/>
        </w:rPr>
        <w:t xml:space="preserve">qok-</w:t>
      </w:r>
      <w:r>
        <w:rPr>
          <w:rFonts w:ascii="Times New Roman" w:cs="Times New Roman" w:eastAsia="Times New Roman" w:hAnsi="Times New Roman"/>
          <w:sz w:val="22"/>
          <w:szCs w:val="22"/>
        </w:rPr>
        <w:t xml:space="preserve"> and </w:t>
      </w:r>
      <w:r>
        <w:rPr>
          <w:rFonts w:ascii="Courier New" w:cs="Courier New" w:eastAsia="Courier New" w:hAnsi="Courier New"/>
          <w:sz w:val="22"/>
          <w:szCs w:val="22"/>
        </w:rPr>
        <w:t xml:space="preserve">qot-</w:t>
      </w:r>
      <w:r>
        <w:rPr>
          <w:rFonts w:ascii="Times New Roman" w:cs="Times New Roman" w:eastAsia="Times New Roman" w:hAnsi="Times New Roman"/>
          <w:sz w:val="22"/>
          <w:szCs w:val="22"/>
        </w:rPr>
        <w:t xml:space="preserve"> together yield over 3,000 attested forms across nineteen and eighteen distinct host stems respectively. Their behavioural signature is consistent with modal, aspectual, or operational morphology in attested medical-prescriptive registers.</w:t>
      </w:r>
    </w:p>
    <w:p/>
    <w:p>
      <w:pPr>
        <w:pStyle w:val="Heading3"/>
      </w:pPr>
      <w:r>
        <w:rPr>
          <w:rFonts w:ascii="Times New Roman" w:cs="Times New Roman" w:eastAsia="Times New Roman" w:hAnsi="Times New Roman"/>
          <w:b/>
          <w:bCs/>
        </w:rPr>
        <w:t xml:space="preserve">4.3.4 Minimal-pair systematic deltas</w:t>
      </w:r>
    </w:p>
    <w:p/>
    <w:p>
      <w:pPr>
        <w:spacing w:after="120"/>
      </w:pPr>
      <w:r>
        <w:rPr>
          <w:rFonts w:ascii="Times New Roman" w:cs="Times New Roman" w:eastAsia="Times New Roman" w:hAnsi="Times New Roman"/>
          <w:sz w:val="22"/>
          <w:szCs w:val="22"/>
        </w:rPr>
        <w:t xml:space="preserve">The final and most direct test of grammatical function asks whether the difference between two clitics is the same kind of difference across multiple host stems. For each pair of clitics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the difference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was computed for every stem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on which both forms are attested.</w:t>
      </w:r>
    </w:p>
    <w:p/>
    <w:p>
      <w:pPr>
        <w:spacing w:after="120"/>
      </w:pPr>
      <w:r>
        <w:rPr>
          <w:rFonts w:ascii="Times New Roman" w:cs="Times New Roman" w:eastAsia="Times New Roman" w:hAnsi="Times New Roman"/>
          <w:sz w:val="22"/>
          <w:szCs w:val="22"/>
        </w:rPr>
        <w:t xml:space="preserve">Three pair-wise differences are statistically reliable, defined as having a mean delta whose absolute value exceeds the cross-stem standard deviation. The pair </w:t>
      </w:r>
      <w:r>
        <w:rPr>
          <w:rFonts w:ascii="Courier New" w:cs="Courier New" w:eastAsia="Courier New" w:hAnsi="Courier New"/>
          <w:sz w:val="22"/>
          <w:szCs w:val="22"/>
        </w:rPr>
        <w:t xml:space="preserve">cth-</w:t>
      </w:r>
      <w:r>
        <w:rPr>
          <w:rFonts w:ascii="Times New Roman" w:cs="Times New Roman" w:eastAsia="Times New Roman" w:hAnsi="Times New Roman"/>
          <w:sz w:val="22"/>
          <w:szCs w:val="22"/>
        </w:rPr>
        <w:t xml:space="preserve"> versus </w:t>
      </w:r>
      <w:r>
        <w:rPr>
          <w:rFonts w:ascii="Courier New" w:cs="Courier New" w:eastAsia="Courier New" w:hAnsi="Courier New"/>
          <w:sz w:val="22"/>
          <w:szCs w:val="22"/>
        </w:rPr>
        <w:t xml:space="preserve">ch-</w:t>
      </w:r>
      <w:r>
        <w:rPr>
          <w:rFonts w:ascii="Times New Roman" w:cs="Times New Roman" w:eastAsia="Times New Roman" w:hAnsi="Times New Roman"/>
          <w:sz w:val="22"/>
          <w:szCs w:val="22"/>
        </w:rPr>
        <w:t xml:space="preserve"> shows a mean Currier-A delta of +38.1 percentage points with cross-stem standard deviation 16.5 — that is, </w:t>
      </w:r>
      <w:r>
        <w:rPr>
          <w:rFonts w:ascii="Courier New" w:cs="Courier New" w:eastAsia="Courier New" w:hAnsi="Courier New"/>
          <w:sz w:val="22"/>
          <w:szCs w:val="22"/>
        </w:rPr>
        <w:t xml:space="preserve">cth-</w:t>
      </w:r>
      <w:r>
        <w:rPr>
          <w:rFonts w:ascii="Times New Roman" w:cs="Times New Roman" w:eastAsia="Times New Roman" w:hAnsi="Times New Roman"/>
          <w:sz w:val="22"/>
          <w:szCs w:val="22"/>
        </w:rPr>
        <w:t xml:space="preserve"> consistently shifts host stems further into Currier-A territory than </w:t>
      </w:r>
      <w:r>
        <w:rPr>
          <w:rFonts w:ascii="Courier New" w:cs="Courier New" w:eastAsia="Courier New" w:hAnsi="Courier New"/>
          <w:sz w:val="22"/>
          <w:szCs w:val="22"/>
        </w:rPr>
        <w:t xml:space="preserve">ch-</w:t>
      </w:r>
      <w:r>
        <w:rPr>
          <w:rFonts w:ascii="Times New Roman" w:cs="Times New Roman" w:eastAsia="Times New Roman" w:hAnsi="Times New Roman"/>
          <w:sz w:val="22"/>
          <w:szCs w:val="22"/>
        </w:rPr>
        <w:t xml:space="preserve"> does, across nine independent stems. The pair </w:t>
      </w:r>
      <w:r>
        <w:rPr>
          <w:rFonts w:ascii="Courier New" w:cs="Courier New" w:eastAsia="Courier New" w:hAnsi="Courier New"/>
          <w:sz w:val="22"/>
          <w:szCs w:val="22"/>
        </w:rPr>
        <w:t xml:space="preserve">l-</w:t>
      </w:r>
      <w:r>
        <w:rPr>
          <w:rFonts w:ascii="Times New Roman" w:cs="Times New Roman" w:eastAsia="Times New Roman" w:hAnsi="Times New Roman"/>
          <w:sz w:val="22"/>
          <w:szCs w:val="22"/>
        </w:rPr>
        <w:t xml:space="preserve"> versus </w:t>
      </w:r>
      <w:r>
        <w:rPr>
          <w:rFonts w:ascii="Courier New" w:cs="Courier New" w:eastAsia="Courier New" w:hAnsi="Courier New"/>
          <w:sz w:val="22"/>
          <w:szCs w:val="22"/>
        </w:rPr>
        <w:t xml:space="preserve">d-</w:t>
      </w:r>
      <w:r>
        <w:rPr>
          <w:rFonts w:ascii="Times New Roman" w:cs="Times New Roman" w:eastAsia="Times New Roman" w:hAnsi="Times New Roman"/>
          <w:sz w:val="22"/>
          <w:szCs w:val="22"/>
        </w:rPr>
        <w:t xml:space="preserve"> shows a mean Currier-A delta of −42.5 with standard deviation 24.1 — </w:t>
      </w:r>
      <w:r>
        <w:rPr>
          <w:rFonts w:ascii="Courier New" w:cs="Courier New" w:eastAsia="Courier New" w:hAnsi="Courier New"/>
          <w:sz w:val="22"/>
          <w:szCs w:val="22"/>
        </w:rPr>
        <w:t xml:space="preserve">l-</w:t>
      </w:r>
      <w:r>
        <w:rPr>
          <w:rFonts w:ascii="Times New Roman" w:cs="Times New Roman" w:eastAsia="Times New Roman" w:hAnsi="Times New Roman"/>
          <w:sz w:val="22"/>
          <w:szCs w:val="22"/>
        </w:rPr>
        <w:t xml:space="preserve"> is reliably more B-restricted than </w:t>
      </w:r>
      <w:r>
        <w:rPr>
          <w:rFonts w:ascii="Courier New" w:cs="Courier New" w:eastAsia="Courier New" w:hAnsi="Courier New"/>
          <w:sz w:val="22"/>
          <w:szCs w:val="22"/>
        </w:rPr>
        <w:t xml:space="preserve">d-</w:t>
      </w:r>
      <w:r>
        <w:rPr>
          <w:rFonts w:ascii="Times New Roman" w:cs="Times New Roman" w:eastAsia="Times New Roman" w:hAnsi="Times New Roman"/>
          <w:sz w:val="22"/>
          <w:szCs w:val="22"/>
        </w:rPr>
        <w:t xml:space="preserve"> across eleven stems. The pair </w:t>
      </w:r>
      <w:r>
        <w:rPr>
          <w:rFonts w:ascii="Courier New" w:cs="Courier New" w:eastAsia="Courier New" w:hAnsi="Courier New"/>
          <w:sz w:val="22"/>
          <w:szCs w:val="22"/>
        </w:rPr>
        <w:t xml:space="preserve">ot-</w:t>
      </w:r>
      <w:r>
        <w:rPr>
          <w:rFonts w:ascii="Times New Roman" w:cs="Times New Roman" w:eastAsia="Times New Roman" w:hAnsi="Times New Roman"/>
          <w:sz w:val="22"/>
          <w:szCs w:val="22"/>
        </w:rPr>
        <w:t xml:space="preserve"> versus </w:t>
      </w:r>
      <w:r>
        <w:rPr>
          <w:rFonts w:ascii="Courier New" w:cs="Courier New" w:eastAsia="Courier New" w:hAnsi="Courier New"/>
          <w:sz w:val="22"/>
          <w:szCs w:val="22"/>
        </w:rPr>
        <w:t xml:space="preserve">ok-</w:t>
      </w:r>
      <w:r>
        <w:rPr>
          <w:rFonts w:ascii="Times New Roman" w:cs="Times New Roman" w:eastAsia="Times New Roman" w:hAnsi="Times New Roman"/>
          <w:sz w:val="22"/>
          <w:szCs w:val="22"/>
        </w:rPr>
        <w:t xml:space="preserve"> shows a smaller but statistically reliable clause-initial delta of +2.9 with standard deviation 7.8 across eighteen stems.</w:t>
      </w:r>
    </w:p>
    <w:p/>
    <w:p>
      <w:pPr>
        <w:spacing w:after="120"/>
      </w:pPr>
      <w:r>
        <w:rPr>
          <w:rFonts w:ascii="Times New Roman" w:cs="Times New Roman" w:eastAsia="Times New Roman" w:hAnsi="Times New Roman"/>
          <w:sz w:val="22"/>
          <w:szCs w:val="22"/>
        </w:rPr>
        <w:t xml:space="preserve">Several other pairs (</w:t>
      </w:r>
      <w:r>
        <w:rPr>
          <w:rFonts w:ascii="Courier New" w:cs="Courier New" w:eastAsia="Courier New" w:hAnsi="Courier New"/>
          <w:sz w:val="22"/>
          <w:szCs w:val="22"/>
        </w:rPr>
        <w:t xml:space="preserve">qok-</w:t>
      </w:r>
      <w:r>
        <w:rPr>
          <w:rFonts w:ascii="Times New Roman" w:cs="Times New Roman" w:eastAsia="Times New Roman" w:hAnsi="Times New Roman"/>
          <w:sz w:val="22"/>
          <w:szCs w:val="22"/>
        </w:rPr>
        <w:t xml:space="preserve"> versus </w:t>
      </w:r>
      <w:r>
        <w:rPr>
          <w:rFonts w:ascii="Courier New" w:cs="Courier New" w:eastAsia="Courier New" w:hAnsi="Courier New"/>
          <w:sz w:val="22"/>
          <w:szCs w:val="22"/>
        </w:rPr>
        <w:t xml:space="preserve">ok-</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qot-</w:t>
      </w:r>
      <w:r>
        <w:rPr>
          <w:rFonts w:ascii="Times New Roman" w:cs="Times New Roman" w:eastAsia="Times New Roman" w:hAnsi="Times New Roman"/>
          <w:sz w:val="22"/>
          <w:szCs w:val="22"/>
        </w:rPr>
        <w:t xml:space="preserve"> versus </w:t>
      </w:r>
      <w:r>
        <w:rPr>
          <w:rFonts w:ascii="Courier New" w:cs="Courier New" w:eastAsia="Courier New" w:hAnsi="Courier New"/>
          <w:sz w:val="22"/>
          <w:szCs w:val="22"/>
        </w:rPr>
        <w:t xml:space="preserve">ot-</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qok-</w:t>
      </w:r>
      <w:r>
        <w:rPr>
          <w:rFonts w:ascii="Times New Roman" w:cs="Times New Roman" w:eastAsia="Times New Roman" w:hAnsi="Times New Roman"/>
          <w:sz w:val="22"/>
          <w:szCs w:val="22"/>
        </w:rPr>
        <w:t xml:space="preserve"> versus </w:t>
      </w:r>
      <w:r>
        <w:rPr>
          <w:rFonts w:ascii="Courier New" w:cs="Courier New" w:eastAsia="Courier New" w:hAnsi="Courier New"/>
          <w:sz w:val="22"/>
          <w:szCs w:val="22"/>
        </w:rPr>
        <w:t xml:space="preserve">qot-</w:t>
      </w:r>
      <w:r>
        <w:rPr>
          <w:rFonts w:ascii="Times New Roman" w:cs="Times New Roman" w:eastAsia="Times New Roman" w:hAnsi="Times New Roman"/>
          <w:sz w:val="22"/>
          <w:szCs w:val="22"/>
        </w:rPr>
        <w:t xml:space="preserve">) show no reliable behavioural difference on the dimensions measured. This null result is itself informative: these clitics may differ on dimensions outside the present test (semantic or syntactic distinctions not captured by clause position or register), but they do not differ in the gross behavioural signatures examined here.</w:t>
      </w:r>
    </w:p>
    <w:p/>
    <w:p>
      <w:pPr>
        <w:pStyle w:val="Heading2"/>
      </w:pPr>
      <w:r>
        <w:rPr>
          <w:rFonts w:ascii="Times New Roman" w:cs="Times New Roman" w:eastAsia="Times New Roman" w:hAnsi="Times New Roman"/>
          <w:b/>
          <w:bCs/>
        </w:rPr>
        <w:t xml:space="preserve">4.4 Discussion</w:t>
      </w:r>
    </w:p>
    <w:p/>
    <w:p>
      <w:pPr>
        <w:pStyle w:val="Heading3"/>
      </w:pPr>
      <w:r>
        <w:rPr>
          <w:rFonts w:ascii="Times New Roman" w:cs="Times New Roman" w:eastAsia="Times New Roman" w:hAnsi="Times New Roman"/>
          <w:b/>
          <w:bCs/>
        </w:rPr>
        <w:t xml:space="preserve">4.4.1 What the structural evidence supports</w:t>
      </w:r>
    </w:p>
    <w:p/>
    <w:p>
      <w:pPr>
        <w:spacing w:after="120"/>
      </w:pPr>
      <w:r>
        <w:rPr>
          <w:rFonts w:ascii="Times New Roman" w:cs="Times New Roman" w:eastAsia="Times New Roman" w:hAnsi="Times New Roman"/>
          <w:sz w:val="22"/>
          <w:szCs w:val="22"/>
        </w:rPr>
        <w:t xml:space="preserve">The corpus exhibits a productive paradigmatic morphology with the following demonstrated properties: a closed inventory of stems and clitics; consistent positional and register behaviour for each clitic across multiple host stems; bound stems that surface only in derived form; and a degree of combinatoric structure that random word generation cannot produce. These findings are independent of any specific theory about the language's origin or the meaning of any individual morpheme. They establish that the Voynichese lexicon is the product of a generative process with grammatical structure, not a flat list of unanalysed forms.</w:t>
      </w:r>
    </w:p>
    <w:p/>
    <w:p>
      <w:pPr>
        <w:pStyle w:val="Heading3"/>
      </w:pPr>
      <w:r>
        <w:rPr>
          <w:rFonts w:ascii="Times New Roman" w:cs="Times New Roman" w:eastAsia="Times New Roman" w:hAnsi="Times New Roman"/>
          <w:b/>
          <w:bCs/>
        </w:rPr>
        <w:t xml:space="preserve">4.4.2 What the structural evidence does not yet support</w:t>
      </w:r>
    </w:p>
    <w:p/>
    <w:p>
      <w:pPr>
        <w:spacing w:after="120"/>
      </w:pPr>
      <w:r>
        <w:rPr>
          <w:rFonts w:ascii="Times New Roman" w:cs="Times New Roman" w:eastAsia="Times New Roman" w:hAnsi="Times New Roman"/>
          <w:sz w:val="22"/>
          <w:szCs w:val="22"/>
        </w:rPr>
        <w:t xml:space="preserve">The findings of §4.3 do not establish what any clitic </w:t>
      </w:r>
      <w:r>
        <w:rPr>
          <w:rFonts w:ascii="Times New Roman" w:cs="Times New Roman" w:eastAsia="Times New Roman" w:hAnsi="Times New Roman"/>
          <w:i/>
          <w:iCs/>
          <w:sz w:val="22"/>
          <w:szCs w:val="22"/>
        </w:rPr>
        <w:t xml:space="preserve">means</w:t>
      </w:r>
      <w:r>
        <w:rPr>
          <w:rFonts w:ascii="Times New Roman" w:cs="Times New Roman" w:eastAsia="Times New Roman" w:hAnsi="Times New Roman"/>
          <w:sz w:val="22"/>
          <w:szCs w:val="22"/>
        </w:rPr>
        <w:t xml:space="preserve">. The clitic </w:t>
      </w:r>
      <w:r>
        <w:rPr>
          <w:rFonts w:ascii="Courier New" w:cs="Courier New" w:eastAsia="Courier New" w:hAnsi="Courier New"/>
          <w:sz w:val="22"/>
          <w:szCs w:val="22"/>
        </w:rPr>
        <w:t xml:space="preserve">s-</w:t>
      </w:r>
      <w:r>
        <w:rPr>
          <w:rFonts w:ascii="Times New Roman" w:cs="Times New Roman" w:eastAsia="Times New Roman" w:hAnsi="Times New Roman"/>
          <w:sz w:val="22"/>
          <w:szCs w:val="22"/>
        </w:rPr>
        <w:t xml:space="preserve"> is reliably clause-initial across host stems, but whether it functions as a yes/no question particle, a topic marker, a vocative, a definite article, a discourse opener, or a relative-clause introducer cannot be settled by positional and register evidence alone. Resolving the semantic interpretation of the clitic system requires substitution-frame analysis (cf. §5) and external evidence in the form of confirmed referents — for which the proposed cross-reference of folio plant identifications against Avicenna's </w:t>
      </w:r>
      <w:r>
        <w:rPr>
          <w:rFonts w:ascii="Times New Roman" w:cs="Times New Roman" w:eastAsia="Times New Roman" w:hAnsi="Times New Roman"/>
          <w:i/>
          <w:iCs/>
          <w:sz w:val="22"/>
          <w:szCs w:val="22"/>
        </w:rPr>
        <w:t xml:space="preserve">Materia Medica</w:t>
      </w:r>
      <w:r>
        <w:rPr>
          <w:rFonts w:ascii="Times New Roman" w:cs="Times New Roman" w:eastAsia="Times New Roman" w:hAnsi="Times New Roman"/>
          <w:sz w:val="22"/>
          <w:szCs w:val="22"/>
        </w:rPr>
        <w:t xml:space="preserve"> (Book II of the </w:t>
      </w:r>
      <w:r>
        <w:rPr>
          <w:rFonts w:ascii="Times New Roman" w:cs="Times New Roman" w:eastAsia="Times New Roman" w:hAnsi="Times New Roman"/>
          <w:i/>
          <w:iCs/>
          <w:sz w:val="22"/>
          <w:szCs w:val="22"/>
        </w:rPr>
        <w:t xml:space="preserve">Canon</w:t>
      </w:r>
      <w:r>
        <w:rPr>
          <w:rFonts w:ascii="Times New Roman" w:cs="Times New Roman" w:eastAsia="Times New Roman" w:hAnsi="Times New Roman"/>
          <w:sz w:val="22"/>
          <w:szCs w:val="22"/>
        </w:rPr>
        <w:t xml:space="preserve">) provides a tractable next step.</w:t>
      </w:r>
    </w:p>
    <w:p/>
    <w:p>
      <w:pPr>
        <w:pStyle w:val="Heading3"/>
      </w:pPr>
      <w:r>
        <w:rPr>
          <w:rFonts w:ascii="Times New Roman" w:cs="Times New Roman" w:eastAsia="Times New Roman" w:hAnsi="Times New Roman"/>
          <w:b/>
          <w:bCs/>
        </w:rPr>
        <w:t xml:space="preserve">4.4.3 Implications for the hoax hypothesis</w:t>
      </w:r>
    </w:p>
    <w:p/>
    <w:p>
      <w:pPr>
        <w:spacing w:after="120"/>
      </w:pPr>
      <w:r>
        <w:rPr>
          <w:rFonts w:ascii="Times New Roman" w:cs="Times New Roman" w:eastAsia="Times New Roman" w:hAnsi="Times New Roman"/>
          <w:sz w:val="22"/>
          <w:szCs w:val="22"/>
        </w:rPr>
        <w:t xml:space="preserve">The most prominent recent argument for the manuscript as a meaningless artefact is the table-lookup hoax mechanism proposed by Rugg (2004). The mechanism generates word-like forms by selecting prefix, mid, and suffix elements from physical lookup tables; the resulting word distributions can be made to match Voynichese frequency statistics. The paradigm structure documented here is, however, not reproducible by any table-lookup mechanism that operates at the orthographic-word level. Lookup-generated tokens cannot exhibit the consistent positional and register behaviour shown by </w:t>
      </w:r>
      <w:r>
        <w:rPr>
          <w:rFonts w:ascii="Courier New" w:cs="Courier New" w:eastAsia="Courier New" w:hAnsi="Courier New"/>
          <w:sz w:val="22"/>
          <w:szCs w:val="22"/>
        </w:rPr>
        <w:t xml:space="preserve">y-</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s-</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t-</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cth-</w:t>
      </w:r>
      <w:r>
        <w:rPr>
          <w:rFonts w:ascii="Times New Roman" w:cs="Times New Roman" w:eastAsia="Times New Roman" w:hAnsi="Times New Roman"/>
          <w:sz w:val="22"/>
          <w:szCs w:val="22"/>
        </w:rPr>
        <w:t xml:space="preserve">, and </w:t>
      </w:r>
      <w:r>
        <w:rPr>
          <w:rFonts w:ascii="Courier New" w:cs="Courier New" w:eastAsia="Courier New" w:hAnsi="Courier New"/>
          <w:sz w:val="22"/>
          <w:szCs w:val="22"/>
        </w:rPr>
        <w:t xml:space="preserve">l-</w:t>
      </w:r>
      <w:r>
        <w:rPr>
          <w:rFonts w:ascii="Times New Roman" w:cs="Times New Roman" w:eastAsia="Times New Roman" w:hAnsi="Times New Roman"/>
          <w:sz w:val="22"/>
          <w:szCs w:val="22"/>
        </w:rPr>
        <w:t xml:space="preserve"> derivatives across multiple distinct host stems, because lookup mechanisms have no way to encode such cross-host behavioural consistency. Either the underlying process is not a lookup mechanism, or it is a lookup mechanism that has been disciplined to reproduce the observable signatures of grammatical morphology — which is, in effect, the same as having grammatical morphology.</w:t>
      </w:r>
    </w:p>
    <w:p/>
    <w:p>
      <w:pPr>
        <w:spacing w:after="120"/>
      </w:pPr>
      <w:r>
        <w:rPr>
          <w:rFonts w:ascii="Times New Roman" w:cs="Times New Roman" w:eastAsia="Times New Roman" w:hAnsi="Times New Roman"/>
          <w:sz w:val="22"/>
          <w:szCs w:val="22"/>
        </w:rPr>
        <w:t xml:space="preserve">This does not preclude the possibility that the manuscript was composed using a mechanical aid — a wheel, a cipher disc, a constructed-language reference document. It does, however, require that any such aid encoded grammatical structure of the kind that real natural languages encode. The structural evidence is consistent with a constructed natural language; it is consistent with a cipher applied to a plaintext that itself had grammatical structure; it is not consistent with mechanical generation of meaningless word-like forms.</w:t>
      </w:r>
    </w:p>
    <w:p/>
    <w:p>
      <w:pPr>
        <w:pStyle w:val="Heading2"/>
      </w:pPr>
      <w:r>
        <w:rPr>
          <w:rFonts w:ascii="Times New Roman" w:cs="Times New Roman" w:eastAsia="Times New Roman" w:hAnsi="Times New Roman"/>
          <w:b/>
          <w:bCs/>
        </w:rPr>
        <w:t xml:space="preserve">4.5 Limitations and Further Work</w:t>
      </w:r>
    </w:p>
    <w:p/>
    <w:p>
      <w:pPr>
        <w:spacing w:after="120"/>
      </w:pPr>
      <w:r>
        <w:rPr>
          <w:rFonts w:ascii="Times New Roman" w:cs="Times New Roman" w:eastAsia="Times New Roman" w:hAnsi="Times New Roman"/>
          <w:sz w:val="22"/>
          <w:szCs w:val="22"/>
        </w:rPr>
        <w:t xml:space="preserve">The analysis depends on the ZL3b transcription's tokenisation, which sometimes records as two tokens what may be a single phonological unit. The 58 attested instances of </w:t>
      </w:r>
      <w:r>
        <w:rPr>
          <w:rFonts w:ascii="Courier New" w:cs="Courier New" w:eastAsia="Courier New" w:hAnsi="Courier New"/>
          <w:sz w:val="22"/>
          <w:szCs w:val="22"/>
        </w:rPr>
        <w:t xml:space="preserve">or aiin</w:t>
      </w:r>
      <w:r>
        <w:rPr>
          <w:rFonts w:ascii="Times New Roman" w:cs="Times New Roman" w:eastAsia="Times New Roman" w:hAnsi="Times New Roman"/>
          <w:sz w:val="22"/>
          <w:szCs w:val="22"/>
        </w:rPr>
        <w:t xml:space="preserve"> written as two tokens, alongside 34 attested instances of </w:t>
      </w:r>
      <w:r>
        <w:rPr>
          <w:rFonts w:ascii="Courier New" w:cs="Courier New" w:eastAsia="Courier New" w:hAnsi="Courier New"/>
          <w:sz w:val="22"/>
          <w:szCs w:val="22"/>
        </w:rPr>
        <w:t xml:space="preserve">oraiin</w:t>
      </w:r>
      <w:r>
        <w:rPr>
          <w:rFonts w:ascii="Times New Roman" w:cs="Times New Roman" w:eastAsia="Times New Roman" w:hAnsi="Times New Roman"/>
          <w:sz w:val="22"/>
          <w:szCs w:val="22"/>
        </w:rPr>
        <w:t xml:space="preserve"> written as one, suggest scribal inconsistency in word-boundary marking — a pattern characteristic of medieval Hebrew and Arabic manuscripts in which clitic boundaries are orthographically variable. Reanalysis using a tokenisation that treats </w:t>
      </w:r>
      <w:r>
        <w:rPr>
          <w:rFonts w:ascii="Courier New" w:cs="Courier New" w:eastAsia="Courier New" w:hAnsi="Courier New"/>
          <w:sz w:val="22"/>
          <w:szCs w:val="22"/>
        </w:rPr>
        <w:t xml:space="preserve">or-</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ol-</w:t>
      </w:r>
      <w:r>
        <w:rPr>
          <w:rFonts w:ascii="Times New Roman" w:cs="Times New Roman" w:eastAsia="Times New Roman" w:hAnsi="Times New Roman"/>
          <w:sz w:val="22"/>
          <w:szCs w:val="22"/>
        </w:rPr>
        <w:t xml:space="preserve">, and </w:t>
      </w:r>
      <w:r>
        <w:rPr>
          <w:rFonts w:ascii="Courier New" w:cs="Courier New" w:eastAsia="Courier New" w:hAnsi="Courier New"/>
          <w:sz w:val="22"/>
          <w:szCs w:val="22"/>
        </w:rPr>
        <w:t xml:space="preserve">ar-</w:t>
      </w:r>
      <w:r>
        <w:rPr>
          <w:rFonts w:ascii="Times New Roman" w:cs="Times New Roman" w:eastAsia="Times New Roman" w:hAnsi="Times New Roman"/>
          <w:sz w:val="22"/>
          <w:szCs w:val="22"/>
        </w:rPr>
        <w:t xml:space="preserve"> as proclitics rather than separate words would alter some of the matrix counts but would not change the qualitative findings, since both joined and separated forms are admitted as paradigm members under the present procedure.</w:t>
      </w:r>
    </w:p>
    <w:p/>
    <w:p>
      <w:pPr>
        <w:spacing w:after="120"/>
      </w:pPr>
      <w:r>
        <w:rPr>
          <w:rFonts w:ascii="Times New Roman" w:cs="Times New Roman" w:eastAsia="Times New Roman" w:hAnsi="Times New Roman"/>
          <w:sz w:val="22"/>
          <w:szCs w:val="22"/>
        </w:rPr>
        <w:t xml:space="preserve">Further work should test the paradigm hypothesis against attested medieval Hebrew and Arabic medical corpora to determine whether the clitic-class signatures observed here match the corresponding morphological systems in those languages. The clitic profiles documented in Table 4.2 provide testable predictions: a Hebrew or Arabic medical corpus tokenised with comparable procedures should yield a comparable matrix shape, with similar productivity patterns and similar within-clitic behavioural consistency. A negative result would weaken the Semitic-morphology hypothesis; a positive result would substantially strengthen it.</w:t>
      </w:r>
    </w:p>
    <w:p/>
    <w:p>
      <w:pPr>
        <w:pBdr>
          <w:bottom w:val="single" w:color="666666" w:sz="6"/>
        </w:pBdr>
      </w:pPr>
      <w:r>
        <w:t xml:space="preserve"/>
      </w:r>
    </w:p>
    <w:p/>
    <w:p>
      <w:pPr>
        <w:spacing w:after="120"/>
      </w:pPr>
      <w:r>
        <w:rPr>
          <w:rFonts w:ascii="Times New Roman" w:cs="Times New Roman" w:eastAsia="Times New Roman" w:hAnsi="Times New Roman"/>
          <w:b/>
          <w:bCs/>
          <w:sz w:val="22"/>
          <w:szCs w:val="22"/>
        </w:rPr>
        <w:t xml:space="preserve">Tables: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5E8F0" w:val="clear"/>
            <w:tcMar>
              <w:top w:type="dxa" w:w="80"/>
              <w:left w:type="dxa" w:w="120"/>
              <w:bottom w:type="dxa" w:w="80"/>
              <w:right w:type="dxa" w:w="120"/>
            </w:tcMar>
          </w:tcPr>
          <w:p>
            <w:r>
              <w:rPr>
                <w:rFonts w:ascii="Times New Roman" w:cs="Times New Roman" w:eastAsia="Times New Roman" w:hAnsi="Times New Roman"/>
                <w:sz w:val="22"/>
                <w:szCs w:val="22"/>
              </w:rPr>
              <w:t xml:space="preserve">Table 4.1</w:t>
            </w:r>
          </w:p>
        </w:tc>
        <w:tc>
          <w:tcPr>
            <w:tcW w:type="dxa" w:w="4680"/>
            <w:shd w:fill="D5E8F0" w:val="clear"/>
            <w:tcMar>
              <w:top w:type="dxa" w:w="80"/>
              <w:left w:type="dxa" w:w="120"/>
              <w:bottom w:type="dxa" w:w="80"/>
              <w:right w:type="dxa" w:w="120"/>
            </w:tcMar>
          </w:tcPr>
          <w:p>
            <w:r>
              <w:rPr>
                <w:rFonts w:ascii="Times New Roman" w:cs="Times New Roman" w:eastAsia="Times New Roman" w:hAnsi="Times New Roman"/>
                <w:sz w:val="22"/>
                <w:szCs w:val="22"/>
              </w:rPr>
              <w:t xml:space="preserve">Top-twenty productive stems with clitic distribution. See </w:t>
            </w:r>
            <w:r>
              <w:rPr>
                <w:rFonts w:ascii="Courier New" w:cs="Courier New" w:eastAsia="Courier New" w:hAnsi="Courier New"/>
                <w:sz w:val="22"/>
                <w:szCs w:val="22"/>
              </w:rPr>
              <w:t xml:space="preserve">voynich_paradigm_matrix.csv</w:t>
            </w:r>
            <w:r>
              <w:rPr>
                <w:rFonts w:ascii="Times New Roman" w:cs="Times New Roman" w:eastAsia="Times New Roman" w:hAnsi="Times New Roman"/>
                <w:sz w:val="22"/>
                <w:szCs w:val="22"/>
              </w:rPr>
              <w:t xml:space="preserve">.</w:t>
            </w:r>
          </w:p>
        </w:tc>
      </w:tr>
      <w:tr>
        <w:tc>
          <w:tcPr>
            <w:tcW w:type="dxa" w:w="4680"/>
            <w:tcMar>
              <w:top w:type="dxa" w:w="80"/>
              <w:left w:type="dxa" w:w="120"/>
              <w:bottom w:type="dxa" w:w="80"/>
              <w:right w:type="dxa" w:w="120"/>
            </w:tcMar>
          </w:tcPr>
          <w:p>
            <w:r>
              <w:rPr>
                <w:rFonts w:ascii="Times New Roman" w:cs="Times New Roman" w:eastAsia="Times New Roman" w:hAnsi="Times New Roman"/>
                <w:sz w:val="22"/>
                <w:szCs w:val="22"/>
              </w:rPr>
              <w:t xml:space="preserve">Table 4.2</w:t>
            </w:r>
          </w:p>
        </w:tc>
        <w:tc>
          <w:tcPr>
            <w:tcW w:type="dxa" w:w="4680"/>
            <w:tcMar>
              <w:top w:type="dxa" w:w="80"/>
              <w:left w:type="dxa" w:w="120"/>
              <w:bottom w:type="dxa" w:w="80"/>
              <w:right w:type="dxa" w:w="120"/>
            </w:tcMar>
          </w:tcPr>
          <w:p>
            <w:r>
              <w:rPr>
                <w:rFonts w:ascii="Times New Roman" w:cs="Times New Roman" w:eastAsia="Times New Roman" w:hAnsi="Times New Roman"/>
                <w:sz w:val="22"/>
                <w:szCs w:val="22"/>
              </w:rPr>
              <w:t xml:space="preserve">Behavioural profiles of the sixteen analysed clitics. See </w:t>
            </w:r>
            <w:r>
              <w:rPr>
                <w:rFonts w:ascii="Courier New" w:cs="Courier New" w:eastAsia="Courier New" w:hAnsi="Courier New"/>
                <w:sz w:val="22"/>
                <w:szCs w:val="22"/>
              </w:rPr>
              <w:t xml:space="preserve">voynich_clitic_profiles.csv</w:t>
            </w:r>
            <w:r>
              <w:rPr>
                <w:rFonts w:ascii="Times New Roman" w:cs="Times New Roman" w:eastAsia="Times New Roman" w:hAnsi="Times New Roman"/>
                <w:sz w:val="22"/>
                <w:szCs w:val="22"/>
              </w:rPr>
              <w:t xml:space="preserve">.</w:t>
            </w:r>
          </w:p>
        </w:tc>
      </w:tr>
      <w:tr>
        <w:tc>
          <w:tcPr>
            <w:tcW w:type="dxa" w:w="4680"/>
            <w:tcMar>
              <w:top w:type="dxa" w:w="80"/>
              <w:left w:type="dxa" w:w="120"/>
              <w:bottom w:type="dxa" w:w="80"/>
              <w:right w:type="dxa" w:w="120"/>
            </w:tcMar>
          </w:tcPr>
          <w:p>
            <w:r>
              <w:rPr>
                <w:rFonts w:ascii="Times New Roman" w:cs="Times New Roman" w:eastAsia="Times New Roman" w:hAnsi="Times New Roman"/>
                <w:sz w:val="22"/>
                <w:szCs w:val="22"/>
              </w:rPr>
              <w:t xml:space="preserve">Table 4.3</w:t>
            </w:r>
          </w:p>
        </w:tc>
        <w:tc>
          <w:tcPr>
            <w:tcW w:type="dxa" w:w="4680"/>
            <w:tcMar>
              <w:top w:type="dxa" w:w="80"/>
              <w:left w:type="dxa" w:w="120"/>
              <w:bottom w:type="dxa" w:w="80"/>
              <w:right w:type="dxa" w:w="120"/>
            </w:tcMar>
          </w:tcPr>
          <w:p>
            <w:r>
              <w:rPr>
                <w:rFonts w:ascii="Times New Roman" w:cs="Times New Roman" w:eastAsia="Times New Roman" w:hAnsi="Times New Roman"/>
                <w:sz w:val="22"/>
                <w:szCs w:val="22"/>
              </w:rPr>
              <w:t xml:space="preserve">Folio-by-folio plant identification template, for cross-reference against Canon Book II. See </w:t>
            </w:r>
            <w:r>
              <w:rPr>
                <w:rFonts w:ascii="Courier New" w:cs="Courier New" w:eastAsia="Courier New" w:hAnsi="Courier New"/>
                <w:sz w:val="22"/>
                <w:szCs w:val="22"/>
              </w:rPr>
              <w:t xml:space="preserve">voynich_plant_id_template.csv</w:t>
            </w:r>
            <w:r>
              <w:rPr>
                <w:rFonts w:ascii="Times New Roman" w:cs="Times New Roman" w:eastAsia="Times New Roman" w:hAnsi="Times New Roman"/>
                <w:sz w:val="22"/>
                <w:szCs w:val="22"/>
              </w:rPr>
              <w:t xml:space="preserve">.</w:t>
            </w:r>
          </w:p>
        </w:tc>
      </w:tr>
      <w:tr>
        <w:tc>
          <w:tcPr>
            <w:tcW w:type="dxa" w:w="4680"/>
            <w:tcMar>
              <w:top w:type="dxa" w:w="80"/>
              <w:left w:type="dxa" w:w="120"/>
              <w:bottom w:type="dxa" w:w="80"/>
              <w:right w:type="dxa" w:w="120"/>
            </w:tcMar>
          </w:tcPr>
          <w:p>
            <w:r>
              <w:rPr>
                <w:rFonts w:ascii="Times New Roman" w:cs="Times New Roman" w:eastAsia="Times New Roman" w:hAnsi="Times New Roman"/>
                <w:sz w:val="22"/>
                <w:szCs w:val="22"/>
              </w:rPr>
              <w:t xml:space="preserve">Table 4.4</w:t>
            </w:r>
          </w:p>
        </w:tc>
        <w:tc>
          <w:tcPr>
            <w:tcW w:type="dxa" w:w="4680"/>
            <w:tcMar>
              <w:top w:type="dxa" w:w="80"/>
              <w:left w:type="dxa" w:w="120"/>
              <w:bottom w:type="dxa" w:w="80"/>
              <w:right w:type="dxa" w:w="120"/>
            </w:tcMar>
          </w:tcPr>
          <w:p>
            <w:r>
              <w:rPr>
                <w:rFonts w:ascii="Times New Roman" w:cs="Times New Roman" w:eastAsia="Times New Roman" w:hAnsi="Times New Roman"/>
                <w:sz w:val="22"/>
                <w:szCs w:val="22"/>
              </w:rPr>
              <w:t xml:space="preserve">Canon of Medicine Book II Materia Medica entries (637 simples) with Avicennan quality assignments. See </w:t>
            </w:r>
            <w:r>
              <w:rPr>
                <w:rFonts w:ascii="Courier New" w:cs="Courier New" w:eastAsia="Courier New" w:hAnsi="Courier New"/>
                <w:sz w:val="22"/>
                <w:szCs w:val="22"/>
              </w:rPr>
              <w:t xml:space="preserve">canon_book2_materia_medica.csv</w:t>
            </w:r>
            <w:r>
              <w:rPr>
                <w:rFonts w:ascii="Times New Roman" w:cs="Times New Roman" w:eastAsia="Times New Roman" w:hAnsi="Times New Roman"/>
                <w:sz w:val="22"/>
                <w:szCs w:val="22"/>
              </w:rPr>
              <w:t xml:space="preserve">.</w:t>
            </w:r>
          </w:p>
        </w:tc>
      </w:tr>
    </w:tbl>
    <w:p/>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sz w:val="24"/>
      <w:szCs w:val="24"/>
    </w:rPr>
  </w:style>
  <w:style w:type="paragraph" w:styleId="Heading4">
    <w:name w:val="Heading 4"/>
    <w:basedOn w:val="Normal"/>
    <w:next w:val="Normal"/>
    <w:qFormat/>
    <w:pPr>
      <w:spacing w:after="80" w:before="140"/>
      <w:outlineLvl w:val="3"/>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2026-05-07T05:08:04.149Z</dcterms:created>
  <dcterms:modified xsi:type="dcterms:W3CDTF">2026-05-07T05:08:04.169Z</dcterms:modified>
</cp:coreProperties>
</file>

<file path=docProps/custom.xml><?xml version="1.0" encoding="utf-8"?>
<Properties xmlns="http://schemas.openxmlformats.org/officeDocument/2006/custom-properties" xmlns:vt="http://schemas.openxmlformats.org/officeDocument/2006/docPropsVTypes"/>
</file>