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Supporting Information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0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bookmarkStart w:id="0" w:name="OLE_LINK11"/>
      <w:r>
        <w:rPr>
          <w:rFonts w:hint="default" w:ascii="Times New Roman" w:hAnsi="Times New Roman" w:cs="Times New Roman"/>
          <w:b/>
          <w:bCs/>
          <w:sz w:val="28"/>
          <w:szCs w:val="36"/>
        </w:rPr>
        <w:t xml:space="preserve">Peatland degradation increased biodiversity and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polyphenols accumulation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0" w:firstLineChars="0"/>
        <w:jc w:val="center"/>
        <w:rPr>
          <w:rFonts w:hint="default" w:ascii="Times New Roman" w:hAnsi="Times New Roman" w:cs="Times New Roman"/>
          <w:sz w:val="22"/>
          <w:szCs w:val="28"/>
        </w:rPr>
      </w:pPr>
      <w:bookmarkStart w:id="1" w:name="OLE_LINK31"/>
      <w:r>
        <w:rPr>
          <w:rFonts w:hint="default" w:ascii="Times New Roman" w:hAnsi="Times New Roman" w:cs="Times New Roman"/>
          <w:sz w:val="22"/>
          <w:szCs w:val="28"/>
        </w:rPr>
        <w:t>Zeng Jia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8"/>
        </w:rPr>
        <w:t>,</w:t>
      </w:r>
      <w:bookmarkStart w:id="42" w:name="_GoBack"/>
      <w:bookmarkEnd w:id="42"/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 xml:space="preserve"> Chen Huai2,3, </w:t>
      </w:r>
      <w:r>
        <w:rPr>
          <w:rFonts w:hint="default" w:ascii="Times New Roman" w:hAnsi="Times New Roman" w:cs="Times New Roman"/>
          <w:sz w:val="22"/>
          <w:szCs w:val="28"/>
        </w:rPr>
        <w:t>Bai Yinping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8"/>
        </w:rPr>
        <w:t xml:space="preserve">, </w:t>
      </w:r>
      <w:bookmarkStart w:id="2" w:name="OLE_LINK12"/>
      <w:r>
        <w:rPr>
          <w:rFonts w:hint="default" w:ascii="Times New Roman" w:hAnsi="Times New Roman" w:cs="Times New Roman"/>
          <w:sz w:val="22"/>
          <w:szCs w:val="28"/>
        </w:rPr>
        <w:t>Dong Faqin</w:t>
      </w:r>
      <w:bookmarkEnd w:id="2"/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sz w:val="22"/>
          <w:szCs w:val="28"/>
        </w:rPr>
        <w:t>, Yang Zhenan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5</w:t>
      </w:r>
      <w:r>
        <w:rPr>
          <w:rFonts w:hint="default" w:ascii="Times New Roman" w:hAnsi="Times New Roman" w:eastAsia="Calibri" w:cs="Times New Roman"/>
          <w:sz w:val="22"/>
          <w:szCs w:val="28"/>
        </w:rPr>
        <w:t xml:space="preserve">, 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>Yang Suizhuang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8"/>
        </w:rPr>
        <w:t>, Yang Gang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8"/>
          <w:vertAlign w:val="superscript"/>
        </w:rPr>
        <w:t>*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0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8"/>
        </w:rPr>
        <w:t xml:space="preserve"> School of Life Science and Engineering, Southwest University of Science and Technology, Mianyang 621010, China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2"/>
          <w:szCs w:val="28"/>
        </w:rPr>
        <w:t xml:space="preserve"> Key Laboratory of Mountain Ecological Restoration and Bioresource Utilization ＆Ecological Restoration Biodiversity Conservation, Key Laboratory of Sichuan Province, Chengdu Institute of Biology, Chinese Academy of Sciences, Chengdu, 610041, China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2"/>
          <w:szCs w:val="28"/>
        </w:rPr>
        <w:t xml:space="preserve"> Zoige Peatland and Global Change Research Station, Chengdu Institute of Biology, Chinese Academy of Sciences, Hongyuan 624400, China</w:t>
      </w:r>
      <w:bookmarkStart w:id="3" w:name="OLE_LINK118"/>
      <w:bookmarkStart w:id="4" w:name="OLE_LINK113"/>
      <w:bookmarkStart w:id="5" w:name="OLE_LINK114"/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sz w:val="22"/>
          <w:szCs w:val="28"/>
        </w:rPr>
        <w:t xml:space="preserve"> Key Laboratory of Solid Waste Treatment and Resource Recycle, Ministry of Education, Southwest University of Science and Technology, Mianyang 621010, China</w:t>
      </w:r>
      <w:bookmarkEnd w:id="3"/>
      <w:bookmarkEnd w:id="4"/>
      <w:bookmarkEnd w:id="5"/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2"/>
          <w:szCs w:val="28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sz w:val="22"/>
          <w:szCs w:val="28"/>
        </w:rPr>
        <w:t xml:space="preserve"> Key Laboratory of Southwest China Wildlife Resources Conservation (China West Normal University), Ministry of Education；No.1 Shi Da Road, Nanchong, Sichuan, China, 637000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48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* Corresponding authors</w:t>
      </w:r>
      <w:r>
        <w:rPr>
          <w:rFonts w:hint="default" w:ascii="Times New Roman" w:hAnsi="Times New Roman" w:cs="Times New Roman"/>
          <w:sz w:val="24"/>
        </w:rPr>
        <w:t xml:space="preserve">: </w:t>
      </w:r>
      <w:bookmarkStart w:id="6" w:name="OLE_LINK102"/>
      <w:bookmarkStart w:id="7" w:name="OLE_LINK103"/>
      <w:r>
        <w:rPr>
          <w:rFonts w:hint="default" w:ascii="Times New Roman" w:hAnsi="Times New Roman" w:cs="Times New Roman"/>
          <w:sz w:val="24"/>
        </w:rPr>
        <w:t>Associate Prof. Gang Yang, PhD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480"/>
        <w:rPr>
          <w:rFonts w:hint="default" w:ascii="Times New Roman" w:hAnsi="Times New Roman" w:cs="Times New Roman"/>
          <w:sz w:val="24"/>
          <w:lang w:val="fr-CA"/>
        </w:rPr>
      </w:pPr>
      <w:r>
        <w:rPr>
          <w:rFonts w:hint="default" w:ascii="Times New Roman" w:hAnsi="Times New Roman" w:cs="Times New Roman"/>
          <w:sz w:val="24"/>
          <w:lang w:val="fr-CA"/>
        </w:rPr>
        <w:t xml:space="preserve">mail: </w:t>
      </w:r>
      <w:r>
        <w:rPr>
          <w:rStyle w:val="8"/>
          <w:rFonts w:hint="default" w:ascii="Times New Roman" w:hAnsi="Times New Roman" w:cs="Times New Roman"/>
          <w:sz w:val="24"/>
          <w:lang w:val="fr-CA"/>
        </w:rPr>
        <w:fldChar w:fldCharType="begin"/>
      </w:r>
      <w:r>
        <w:rPr>
          <w:rStyle w:val="8"/>
          <w:rFonts w:hint="default" w:ascii="Times New Roman" w:hAnsi="Times New Roman" w:cs="Times New Roman"/>
          <w:sz w:val="24"/>
          <w:lang w:val="fr-CA"/>
        </w:rPr>
        <w:instrText xml:space="preserve"> HYPERLINK "mailto:yanggang903@swust.edu.cn" </w:instrText>
      </w:r>
      <w:r>
        <w:rPr>
          <w:rStyle w:val="8"/>
          <w:rFonts w:hint="default" w:ascii="Times New Roman" w:hAnsi="Times New Roman" w:cs="Times New Roman"/>
          <w:sz w:val="24"/>
          <w:lang w:val="fr-CA"/>
        </w:rPr>
        <w:fldChar w:fldCharType="separate"/>
      </w:r>
      <w:r>
        <w:rPr>
          <w:rStyle w:val="8"/>
          <w:rFonts w:hint="default" w:ascii="Times New Roman" w:hAnsi="Times New Roman" w:cs="Times New Roman"/>
          <w:sz w:val="24"/>
          <w:lang w:val="fr-CA"/>
        </w:rPr>
        <w:t>yanggang903@swust.edu.cn</w:t>
      </w:r>
      <w:r>
        <w:rPr>
          <w:rStyle w:val="8"/>
          <w:rFonts w:hint="default" w:ascii="Times New Roman" w:hAnsi="Times New Roman" w:cs="Times New Roman"/>
          <w:sz w:val="24"/>
          <w:lang w:val="fr-CA"/>
        </w:rPr>
        <w:fldChar w:fldCharType="end"/>
      </w:r>
      <w:bookmarkEnd w:id="6"/>
      <w:bookmarkEnd w:id="7"/>
      <w:r>
        <w:rPr>
          <w:rFonts w:hint="default" w:ascii="Times New Roman" w:hAnsi="Times New Roman" w:cs="Times New Roman"/>
          <w:sz w:val="24"/>
          <w:lang w:val="fr-CA"/>
        </w:rPr>
        <w:t xml:space="preserve"> or </w:t>
      </w:r>
      <w:r>
        <w:rPr>
          <w:rFonts w:hint="default" w:ascii="Times New Roman" w:hAnsi="Times New Roman" w:cs="Times New Roman"/>
          <w:sz w:val="24"/>
          <w:lang w:val="fr-CA"/>
        </w:rPr>
        <w:fldChar w:fldCharType="begin"/>
      </w:r>
      <w:r>
        <w:rPr>
          <w:rFonts w:hint="default" w:ascii="Times New Roman" w:hAnsi="Times New Roman" w:cs="Times New Roman"/>
          <w:sz w:val="24"/>
          <w:lang w:val="fr-CA"/>
        </w:rPr>
        <w:instrText xml:space="preserve"> HYPERLINK "mailto:yanggang903@163.com" </w:instrText>
      </w:r>
      <w:r>
        <w:rPr>
          <w:rFonts w:hint="default" w:ascii="Times New Roman" w:hAnsi="Times New Roman" w:cs="Times New Roman"/>
          <w:sz w:val="24"/>
          <w:lang w:val="fr-CA"/>
        </w:rPr>
        <w:fldChar w:fldCharType="separate"/>
      </w:r>
      <w:r>
        <w:rPr>
          <w:rStyle w:val="8"/>
          <w:rFonts w:hint="default" w:ascii="Times New Roman" w:hAnsi="Times New Roman" w:cs="Times New Roman"/>
          <w:sz w:val="24"/>
          <w:lang w:val="fr-CA"/>
        </w:rPr>
        <w:t>yanggang903@163.com</w:t>
      </w:r>
      <w:r>
        <w:rPr>
          <w:rFonts w:hint="default" w:ascii="Times New Roman" w:hAnsi="Times New Roman" w:cs="Times New Roman"/>
          <w:sz w:val="24"/>
          <w:lang w:val="fr-CA"/>
        </w:rPr>
        <w:fldChar w:fldCharType="end"/>
      </w:r>
      <w:r>
        <w:rPr>
          <w:rFonts w:hint="default" w:ascii="Times New Roman" w:hAnsi="Times New Roman" w:cs="Times New Roman"/>
          <w:sz w:val="24"/>
          <w:lang w:val="fr-CA"/>
        </w:rPr>
        <w:t xml:space="preserve"> </w:t>
      </w:r>
    </w:p>
    <w:bookmarkEnd w:id="0"/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/>
          <w:bCs/>
          <w:sz w:val="2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/>
          <w:bCs/>
          <w:sz w:val="2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/>
          <w:bCs/>
          <w:sz w:val="2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/>
          <w:bCs/>
          <w:sz w:val="28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1"/>
          <w:lang w:val="en-US" w:eastAsia="zh-CN"/>
        </w:rPr>
        <w:t>Contents of this file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48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Tables S1 to S5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/>
          <w:bCs/>
          <w:sz w:val="28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1"/>
          <w:lang w:val="en-US" w:eastAsia="zh-CN"/>
        </w:rPr>
        <w:t>Introduction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 w:val="0"/>
          <w:bCs w:val="0"/>
          <w:sz w:val="28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1"/>
          <w:lang w:val="en-US" w:eastAsia="zh-CN"/>
        </w:rPr>
        <w:t>The support information provides the same charts and tables as in this article, as well as the data to generate the charts.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 w:val="0"/>
          <w:bCs w:val="0"/>
          <w:sz w:val="2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default" w:ascii="Times New Roman" w:hAnsi="Times New Roman" w:eastAsia="宋体" w:cs="Times New Roman"/>
          <w:b w:val="0"/>
          <w:bCs w:val="0"/>
          <w:sz w:val="2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  <w:bookmarkStart w:id="8" w:name="OLE_LINK1"/>
      <w:bookmarkStart w:id="9" w:name="OLE_LINK2"/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val="en-US" w:eastAsia="zh-CN"/>
        </w:rPr>
        <w:t>Table 1  Soil properties</w:t>
      </w:r>
      <w:bookmarkEnd w:id="8"/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val="en-US" w:eastAsia="zh-CN"/>
        </w:rPr>
        <w:t xml:space="preserve"> (at depths of 0–30cm) of different degradation peatlands. Values are the annual means±standard error. Different letters between forests types indicate significant differences (LSD test, lowercase P&lt;0.05).</w:t>
      </w:r>
      <w:bookmarkEnd w:id="9"/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val="en-US" w:eastAsia="zh-CN"/>
        </w:rPr>
        <w:t xml:space="preserve"> </w:t>
      </w:r>
    </w:p>
    <w:tbl>
      <w:tblPr>
        <w:tblStyle w:val="6"/>
        <w:tblW w:w="5000" w:type="pct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1821"/>
        <w:gridCol w:w="2365"/>
        <w:gridCol w:w="2189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068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swamp meadow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swamp meadows</w:t>
            </w:r>
          </w:p>
        </w:tc>
        <w:tc>
          <w:tcPr>
            <w:tcW w:w="1284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alpine meadow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Degradation Stage</w:t>
            </w:r>
          </w:p>
        </w:tc>
        <w:tc>
          <w:tcPr>
            <w:tcW w:w="1068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intact fen with high water table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lightly degraded fen with a fluctuating water table</w:t>
            </w:r>
          </w:p>
        </w:tc>
        <w:tc>
          <w:tcPr>
            <w:tcW w:w="1284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heavily degraded fen with a lower water table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Dissolved Organic Carbon (mg/kg)</w:t>
            </w:r>
          </w:p>
        </w:tc>
        <w:tc>
          <w:tcPr>
            <w:tcW w:w="1068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195.08c±22.18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348.63ab±22.80</w:t>
            </w:r>
          </w:p>
        </w:tc>
        <w:tc>
          <w:tcPr>
            <w:tcW w:w="1284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445.04a±81.30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Total Carbon (%)</w:t>
            </w:r>
          </w:p>
        </w:tc>
        <w:tc>
          <w:tcPr>
            <w:tcW w:w="1068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9.14b±1.28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26.84a±0.70</w:t>
            </w:r>
          </w:p>
        </w:tc>
        <w:tc>
          <w:tcPr>
            <w:tcW w:w="1284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25.17a±2.78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CH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vertAlign w:val="subscript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 emission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(mg·C·m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vertAlign w:val="superscript"/>
                <w:lang w:val="en-US" w:eastAsia="zh-CN"/>
              </w:rPr>
              <w:t>−2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·h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vertAlign w:val="superscript"/>
                <w:lang w:val="en-US" w:eastAsia="zh-CN"/>
              </w:rPr>
              <w:t>−1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1068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12.64±6.29</w:t>
            </w:r>
          </w:p>
        </w:tc>
        <w:tc>
          <w:tcPr>
            <w:tcW w:w="1387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4.39±1.96</w:t>
            </w:r>
          </w:p>
        </w:tc>
        <w:tc>
          <w:tcPr>
            <w:tcW w:w="1284" w:type="pc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0.11±0.14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Table 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   Vegetation survey results for sampling of different types of peatlands representative of different stages of degradation (</w:t>
      </w:r>
      <w:bookmarkStart w:id="10" w:name="OLE_LINK66"/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>Different letters indicate significant differences between different types of peatlands</w:t>
      </w:r>
      <w:bookmarkEnd w:id="10"/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>, P&lt;0.05)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tbl>
      <w:tblPr>
        <w:tblStyle w:val="5"/>
        <w:tblW w:w="4998" w:type="pct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"/>
        <w:gridCol w:w="1340"/>
        <w:gridCol w:w="1242"/>
        <w:gridCol w:w="1342"/>
        <w:gridCol w:w="2042"/>
        <w:gridCol w:w="1405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040" w:hRule="atLeast"/>
          <w:jc w:val="center"/>
        </w:trPr>
        <w:tc>
          <w:tcPr>
            <w:tcW w:w="577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11" w:name="OLE_LINK48"/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Peatland type</w:t>
            </w:r>
          </w:p>
        </w:tc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Total vegetation coverage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Dominant species</w:t>
            </w:r>
          </w:p>
        </w:tc>
        <w:tc>
          <w:tcPr>
            <w:tcW w:w="80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Coverage of dominant species</w:t>
            </w:r>
          </w:p>
        </w:tc>
        <w:tc>
          <w:tcPr>
            <w:tcW w:w="122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Accompanying species</w:t>
            </w:r>
          </w:p>
        </w:tc>
        <w:tc>
          <w:tcPr>
            <w:tcW w:w="8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12" w:name="OLE_LINK35"/>
            <w:bookmarkStart w:id="13" w:name="OLE_LINK10"/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Coverage</w:t>
            </w:r>
            <w:bookmarkEnd w:id="12"/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 of accompanying species</w:t>
            </w:r>
            <w:bookmarkEnd w:id="13"/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312" w:hRule="atLeast"/>
          <w:jc w:val="center"/>
        </w:trPr>
        <w:tc>
          <w:tcPr>
            <w:tcW w:w="577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alpine meadow</w:t>
            </w:r>
          </w:p>
        </w:tc>
        <w:tc>
          <w:tcPr>
            <w:tcW w:w="804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  <w:t>97.50±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/>
              </w:rPr>
              <w:t>4.18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74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Carex muliensis、</w:t>
            </w:r>
            <w:bookmarkStart w:id="14" w:name="OLE_LINK14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Scirpus triqueter</w:t>
            </w:r>
            <w:bookmarkEnd w:id="14"/>
          </w:p>
        </w:tc>
        <w:tc>
          <w:tcPr>
            <w:tcW w:w="80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  <w:t>83.83±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/>
              </w:rPr>
              <w:t>11.41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122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bookmarkStart w:id="15" w:name="OLE_LINK13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Deschampsia caespitosa</w:t>
            </w:r>
            <w:bookmarkEnd w:id="15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、</w:t>
            </w:r>
            <w:bookmarkStart w:id="16" w:name="OLE_LINK16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Caltha scaposa</w:t>
            </w:r>
            <w:bookmarkEnd w:id="16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、</w:t>
            </w:r>
            <w:bookmarkStart w:id="17" w:name="OLE_LINK19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potentilla anserine</w:t>
            </w:r>
            <w:bookmarkEnd w:id="17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、</w:t>
            </w:r>
            <w:bookmarkStart w:id="18" w:name="OLE_LINK15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Sanguisorba officinalis</w:t>
            </w:r>
            <w:bookmarkEnd w:id="18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、Tibetan golden lotus flower、</w:t>
            </w:r>
            <w:bookmarkStart w:id="19" w:name="OLE_LINK18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Cremanthodium brunneo-pilosum</w:t>
            </w:r>
            <w:bookmarkEnd w:id="19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 xml:space="preserve"> 、Saussurea stella Maxim、leontopodium leontopodioides、</w:t>
            </w:r>
            <w:bookmarkStart w:id="20" w:name="OLE_LINK17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Gentiana leucomelaena</w:t>
            </w:r>
            <w:bookmarkEnd w:id="20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  <w:t>、Epilobium tibetanum Hausskn、Commelina diffusa、Limosella aquatica、Sibbaldia procumbens</w:t>
            </w:r>
          </w:p>
        </w:tc>
        <w:tc>
          <w:tcPr>
            <w:tcW w:w="843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  <w:t>27.00±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/>
              </w:rPr>
              <w:t>7.29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  <w:t>a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312" w:hRule="atLeast"/>
          <w:jc w:val="center"/>
        </w:trPr>
        <w:tc>
          <w:tcPr>
            <w:tcW w:w="577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61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804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0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74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6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80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0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22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22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84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01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 w:bidi="ar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312" w:hRule="atLeast"/>
          <w:jc w:val="center"/>
        </w:trPr>
        <w:tc>
          <w:tcPr>
            <w:tcW w:w="577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61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804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0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74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6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80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0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22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221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84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301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 w:bidi="ar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93" w:hRule="atLeast"/>
          <w:jc w:val="center"/>
        </w:trPr>
        <w:tc>
          <w:tcPr>
            <w:tcW w:w="577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21" w:name="OLE_LINK4"/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swamp meadow</w:t>
            </w:r>
            <w:bookmarkEnd w:id="21"/>
          </w:p>
        </w:tc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73.33±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 w:bidi="ar"/>
              </w:rPr>
              <w:t>11.69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b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20"/>
                <w:szCs w:val="20"/>
                <w:lang w:eastAsia="en-US" w:bidi="ar"/>
              </w:rPr>
              <w:t>Carex meyeriana、</w:t>
            </w:r>
            <w:bookmarkStart w:id="22" w:name="OLE_LINK20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20"/>
                <w:szCs w:val="20"/>
                <w:lang w:eastAsia="en-US" w:bidi="ar"/>
              </w:rPr>
              <w:t>Commelina diffusa</w:t>
            </w:r>
            <w:bookmarkEnd w:id="22"/>
          </w:p>
        </w:tc>
        <w:tc>
          <w:tcPr>
            <w:tcW w:w="80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62.83±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 w:bidi="ar"/>
              </w:rPr>
              <w:t>13.86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b</w:t>
            </w:r>
          </w:p>
        </w:tc>
        <w:tc>
          <w:tcPr>
            <w:tcW w:w="1225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261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</w:pPr>
            <w:bookmarkStart w:id="23" w:name="OLE_LINK8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Limosella aquatica</w:t>
            </w:r>
            <w:bookmarkEnd w:id="23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、</w:t>
            </w:r>
            <w:bookmarkStart w:id="24" w:name="OLE_LINK7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Sibbaldia procumbens</w:t>
            </w:r>
            <w:bookmarkEnd w:id="24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、Deschampsia caespitosa、Scirpus triqueter、Heleocharis kamtschatica、Sanguisorba officinalis、Caltha scaposa、</w:t>
            </w:r>
            <w:bookmarkStart w:id="25" w:name="OLE_LINK5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Gentiana leucomelaena</w:t>
            </w:r>
            <w:bookmarkEnd w:id="25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、Cremanthodium brunneo-pilosum、</w:t>
            </w:r>
            <w:bookmarkStart w:id="26" w:name="OLE_LINK6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potentilla anserine</w:t>
            </w:r>
            <w:bookmarkEnd w:id="26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、Delphinium grandiflorum</w:t>
            </w:r>
          </w:p>
        </w:tc>
        <w:tc>
          <w:tcPr>
            <w:tcW w:w="8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16.00±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 w:bidi="ar"/>
              </w:rPr>
              <w:t>8.83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b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93" w:hRule="atLeast"/>
          <w:jc w:val="center"/>
        </w:trPr>
        <w:tc>
          <w:tcPr>
            <w:tcW w:w="577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27" w:name="OLE_LINK68"/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peat swamp</w:t>
            </w:r>
            <w:bookmarkEnd w:id="27"/>
          </w:p>
        </w:tc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51.67±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 w:bidi="ar"/>
              </w:rPr>
              <w:t>7.5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c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20"/>
                <w:szCs w:val="20"/>
                <w:lang w:eastAsia="en-US" w:bidi="ar"/>
              </w:rPr>
              <w:t>Commelina diffusa、Halerpestes tricuspis</w:t>
            </w:r>
          </w:p>
        </w:tc>
        <w:tc>
          <w:tcPr>
            <w:tcW w:w="80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47.33±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 w:bidi="ar"/>
              </w:rPr>
              <w:t>8.52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c</w:t>
            </w:r>
          </w:p>
        </w:tc>
        <w:tc>
          <w:tcPr>
            <w:tcW w:w="122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Carex meyeriana、Polygonum aviculare、</w:t>
            </w:r>
            <w:bookmarkStart w:id="28" w:name="OLE_LINK9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Heleocharis kamtschatica</w:t>
            </w:r>
            <w:bookmarkEnd w:id="28"/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0"/>
                <w:sz w:val="15"/>
                <w:szCs w:val="15"/>
                <w:lang w:eastAsia="en-US" w:bidi="ar"/>
              </w:rPr>
              <w:t>、Deschampsia caespitosa、Epilobium tibetanum Hausskn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i/>
                <w:iCs/>
                <w:kern w:val="0"/>
                <w:sz w:val="16"/>
                <w:szCs w:val="16"/>
                <w:lang w:eastAsia="en-US"/>
              </w:rPr>
              <w:t>、Draba nemorosa</w:t>
            </w:r>
          </w:p>
        </w:tc>
        <w:tc>
          <w:tcPr>
            <w:tcW w:w="8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16"/>
                <w:szCs w:val="16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6.33±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 w:bidi="ar"/>
              </w:rPr>
              <w:t>3.27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c</w:t>
            </w:r>
          </w:p>
        </w:tc>
      </w:tr>
      <w:bookmarkEnd w:id="11"/>
    </w:tbl>
    <w:p>
      <w:pPr>
        <w:widowControl/>
        <w:spacing w:line="48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widowControl/>
        <w:spacing w:line="48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widowControl/>
        <w:spacing w:line="48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Table 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  Changes in evenness, diversity and richness of different stages of peatland degradation  (different letters indicate significant differences, P&lt;0.05)</w:t>
      </w:r>
    </w:p>
    <w:tbl>
      <w:tblPr>
        <w:tblStyle w:val="5"/>
        <w:tblW w:w="4999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4"/>
        <w:gridCol w:w="1991"/>
        <w:gridCol w:w="3015"/>
        <w:gridCol w:w="208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  <w:jc w:val="center"/>
        </w:trPr>
        <w:tc>
          <w:tcPr>
            <w:tcW w:w="74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00"/>
              <w:jc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29" w:name="OLE_LINK61"/>
          </w:p>
        </w:tc>
        <w:tc>
          <w:tcPr>
            <w:tcW w:w="119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Pielou evenness index</w:t>
            </w:r>
          </w:p>
        </w:tc>
        <w:tc>
          <w:tcPr>
            <w:tcW w:w="180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Shannon-Wiener's diversity index</w:t>
            </w:r>
          </w:p>
        </w:tc>
        <w:tc>
          <w:tcPr>
            <w:tcW w:w="125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Species richness index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  <w:jc w:val="center"/>
        </w:trPr>
        <w:tc>
          <w:tcPr>
            <w:tcW w:w="74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30" w:name="OLE_LINK23"/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alpine meadow</w:t>
            </w:r>
            <w:bookmarkEnd w:id="30"/>
          </w:p>
        </w:tc>
        <w:tc>
          <w:tcPr>
            <w:tcW w:w="119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0.297±0.032a</w:t>
            </w:r>
          </w:p>
        </w:tc>
        <w:tc>
          <w:tcPr>
            <w:tcW w:w="180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1.465±0.138a</w:t>
            </w:r>
          </w:p>
        </w:tc>
        <w:tc>
          <w:tcPr>
            <w:tcW w:w="125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7.5±1.760a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  <w:jc w:val="center"/>
        </w:trPr>
        <w:tc>
          <w:tcPr>
            <w:tcW w:w="74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31" w:name="OLE_LINK24"/>
            <w:bookmarkStart w:id="32" w:name="OLE_LINK27"/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swamp</w:t>
            </w:r>
            <w:bookmarkEnd w:id="31"/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 meadow</w:t>
            </w:r>
            <w:bookmarkEnd w:id="32"/>
          </w:p>
        </w:tc>
        <w:tc>
          <w:tcPr>
            <w:tcW w:w="119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0.29±0.041a</w:t>
            </w:r>
          </w:p>
        </w:tc>
        <w:tc>
          <w:tcPr>
            <w:tcW w:w="180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1.264±0.219a</w:t>
            </w:r>
          </w:p>
        </w:tc>
        <w:tc>
          <w:tcPr>
            <w:tcW w:w="125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5.833±1.329ab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  <w:jc w:val="center"/>
        </w:trPr>
        <w:tc>
          <w:tcPr>
            <w:tcW w:w="74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peat </w:t>
            </w:r>
            <w:bookmarkStart w:id="33" w:name="OLE_LINK25"/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swamp</w:t>
            </w:r>
            <w:bookmarkEnd w:id="33"/>
          </w:p>
        </w:tc>
        <w:tc>
          <w:tcPr>
            <w:tcW w:w="119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0.232±0.043b</w:t>
            </w:r>
          </w:p>
        </w:tc>
        <w:tc>
          <w:tcPr>
            <w:tcW w:w="180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0.991±0.200b</w:t>
            </w:r>
          </w:p>
        </w:tc>
        <w:tc>
          <w:tcPr>
            <w:tcW w:w="125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US" w:bidi="ar"/>
              </w:rPr>
              <w:t>4.167±1.169b</w:t>
            </w:r>
          </w:p>
        </w:tc>
      </w:tr>
      <w:bookmarkEnd w:id="29"/>
    </w:tbl>
    <w:p>
      <w:pPr>
        <w:widowControl/>
        <w:spacing w:line="48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Table 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  Water-soluble phenol concentrations at different soil depths and peatland degradation stages (different letters indicate significant differences, P &lt; 0.05)</w:t>
      </w:r>
    </w:p>
    <w:tbl>
      <w:tblPr>
        <w:tblStyle w:val="5"/>
        <w:tblW w:w="4999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4"/>
        <w:gridCol w:w="2082"/>
        <w:gridCol w:w="208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2499" w:type="pct"/>
            <w:gridSpan w:val="2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Soil depth</w:t>
            </w:r>
          </w:p>
        </w:tc>
        <w:tc>
          <w:tcPr>
            <w:tcW w:w="2500" w:type="pct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Peatland degradation stages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2499" w:type="pct"/>
            <w:gridSpan w:val="2"/>
            <w:vMerge w:val="continue"/>
            <w:tcBorders>
              <w:tl2br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0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alpine meadow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bookmarkStart w:id="34" w:name="OLE_LINK32"/>
            <w:bookmarkStart w:id="35" w:name="OLE_LINK28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swamp</w:t>
            </w:r>
            <w:bookmarkEnd w:id="34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bookmarkStart w:id="36" w:name="OLE_LINK37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meadow</w:t>
            </w:r>
            <w:bookmarkEnd w:id="35"/>
            <w:bookmarkEnd w:id="36"/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1249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zh-CN"/>
              </w:rPr>
              <w:t>W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ater-soluble phenols (μg/g</w:t>
            </w:r>
            <w:bookmarkStart w:id="37" w:name="OLE_LINK3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)</w:t>
            </w:r>
            <w:bookmarkEnd w:id="37"/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0–10cm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76.623 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24.360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c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19.750±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4.106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124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0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 w:bidi="ar"/>
              </w:rPr>
            </w:pP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10–20cm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161.795±1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7.020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22.989±2.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956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124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0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eastAsia="en-US" w:bidi="ar"/>
              </w:rPr>
            </w:pP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20–30cm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116.606±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33.256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b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23.483±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8.333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1249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The total phenols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(μg/g)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0–10cm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629.867±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46.361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b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748.867</w:t>
            </w:r>
            <w:bookmarkStart w:id="38" w:name="OLE_LINK22"/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±</w:t>
            </w:r>
            <w:bookmarkEnd w:id="38"/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17.786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124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0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10–20cm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651.533±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52.786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ab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753.866±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37.978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  <w:jc w:val="center"/>
        </w:trPr>
        <w:tc>
          <w:tcPr>
            <w:tcW w:w="124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0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20–30cm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741.539±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35.303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a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696.533±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16.921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 w:bidi="ar"/>
              </w:rPr>
              <w:t>b</w:t>
            </w:r>
          </w:p>
        </w:tc>
      </w:tr>
    </w:tbl>
    <w:p>
      <w:pPr>
        <w:widowControl/>
        <w:spacing w:line="48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Table 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/>
          <w:kern w:val="0"/>
          <w:sz w:val="22"/>
          <w:szCs w:val="22"/>
          <w:lang w:eastAsia="zh-CN"/>
        </w:rPr>
        <w:t xml:space="preserve">  Correlation analysis between water-soluble phenol concentrations and total vegetation coverage, etc</w:t>
      </w:r>
    </w:p>
    <w:tbl>
      <w:tblPr>
        <w:tblStyle w:val="6"/>
        <w:tblW w:w="4998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1500"/>
        <w:gridCol w:w="1157"/>
        <w:gridCol w:w="1225"/>
        <w:gridCol w:w="1132"/>
        <w:gridCol w:w="160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6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32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88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zh-CN"/>
              </w:rPr>
              <w:t>W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ater-soluble phenols</w:t>
            </w:r>
          </w:p>
        </w:tc>
        <w:tc>
          <w:tcPr>
            <w:tcW w:w="67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Pielou evenness index</w:t>
            </w:r>
          </w:p>
        </w:tc>
        <w:tc>
          <w:tcPr>
            <w:tcW w:w="71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Shannon diversity index</w:t>
            </w:r>
          </w:p>
        </w:tc>
        <w:tc>
          <w:tcPr>
            <w:tcW w:w="664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ichness index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bookmarkStart w:id="39" w:name="OLE_LINK71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zh-CN"/>
              </w:rPr>
              <w:t>T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otal vegetation coverage</w:t>
            </w:r>
            <w:bookmarkEnd w:id="39"/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6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Water-soluble phenols</w:t>
            </w:r>
          </w:p>
        </w:tc>
        <w:tc>
          <w:tcPr>
            <w:tcW w:w="88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7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71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66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4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6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Pielou evenness index</w:t>
            </w:r>
          </w:p>
        </w:tc>
        <w:tc>
          <w:tcPr>
            <w:tcW w:w="88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428</w:t>
            </w:r>
          </w:p>
        </w:tc>
        <w:tc>
          <w:tcPr>
            <w:tcW w:w="67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1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Calibri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664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Calibri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4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Calibri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6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Shannon diversity index</w:t>
            </w:r>
          </w:p>
        </w:tc>
        <w:tc>
          <w:tcPr>
            <w:tcW w:w="88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696*</w:t>
            </w:r>
          </w:p>
        </w:tc>
        <w:tc>
          <w:tcPr>
            <w:tcW w:w="67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0.8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81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71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64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Calibri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4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Calibri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6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val="en-US" w:eastAsia="zh-CN"/>
              </w:rPr>
            </w:pPr>
            <w:bookmarkStart w:id="40" w:name="OLE_LINK62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Richness </w:t>
            </w:r>
            <w:bookmarkEnd w:id="40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val="en-US" w:eastAsia="zh-CN"/>
              </w:rPr>
              <w:t>index</w:t>
            </w:r>
          </w:p>
        </w:tc>
        <w:tc>
          <w:tcPr>
            <w:tcW w:w="88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778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*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67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702*</w:t>
            </w:r>
          </w:p>
        </w:tc>
        <w:tc>
          <w:tcPr>
            <w:tcW w:w="71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49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664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440"/>
              <w:jc w:val="center"/>
              <w:rPr>
                <w:rFonts w:hint="default" w:ascii="Times New Roman" w:hAnsi="Times New Roman" w:eastAsia="Calibri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6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</w:pPr>
            <w:bookmarkStart w:id="41" w:name="OLE_LINK67"/>
            <w:r>
              <w:rPr>
                <w:rFonts w:hint="default" w:ascii="Times New Roman" w:hAnsi="Times New Roman" w:eastAsia="宋体" w:cs="Times New Roman"/>
                <w:b/>
                <w:bCs/>
                <w:color w:val="2E3033"/>
                <w:kern w:val="0"/>
                <w:sz w:val="20"/>
                <w:szCs w:val="20"/>
                <w:shd w:val="clear" w:color="auto" w:fill="FFFFFF"/>
                <w:lang w:eastAsia="en-US"/>
              </w:rPr>
              <w:t>Total vegetation coverage</w:t>
            </w:r>
            <w:bookmarkEnd w:id="41"/>
          </w:p>
        </w:tc>
        <w:tc>
          <w:tcPr>
            <w:tcW w:w="88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837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*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67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552</w:t>
            </w:r>
          </w:p>
        </w:tc>
        <w:tc>
          <w:tcPr>
            <w:tcW w:w="719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825**</w:t>
            </w:r>
          </w:p>
        </w:tc>
        <w:tc>
          <w:tcPr>
            <w:tcW w:w="664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en-US"/>
              </w:rPr>
              <w:t>0.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702*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tLeas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**p&lt;0.01；*p&lt;0.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05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numPr>
        <w:ilvl w:val="0"/>
        <w:numId w:val="0"/>
      </w:numPr>
      <w:kinsoku/>
      <w:wordWrap/>
      <w:overflowPunct/>
      <w:topLinePunct w:val="0"/>
      <w:autoSpaceDE/>
      <w:autoSpaceDN/>
      <w:bidi w:val="0"/>
      <w:adjustRightInd/>
      <w:snapToGrid/>
      <w:spacing w:beforeAutospacing="0" w:line="480" w:lineRule="auto"/>
    </w:pPr>
    <w:r>
      <w:rPr>
        <w:rFonts w:hint="eastAsia" w:ascii="Times New Roman" w:hAnsi="Times New Roman" w:eastAsia="宋体"/>
        <w:b/>
        <w:bCs/>
        <w:sz w:val="28"/>
        <w:szCs w:val="21"/>
        <w:lang w:val="en-US" w:eastAsia="zh-CN"/>
      </w:rPr>
      <w:t xml:space="preserve">Contents of this file  </w:t>
    </w:r>
    <w:r>
      <w:rPr>
        <w:rFonts w:hint="eastAsia" w:ascii="Times New Roman" w:hAnsi="Times New Roman" w:eastAsia="宋体"/>
        <w:sz w:val="24"/>
        <w:lang w:val="en-US" w:eastAsia="zh-CN"/>
      </w:rPr>
      <w:t>Tables S1 to S5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484"/>
    <w:multiLevelType w:val="singleLevel"/>
    <w:tmpl w:val="06B7548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3725"/>
    <w:rsid w:val="0EBD30F7"/>
    <w:rsid w:val="106220CD"/>
    <w:rsid w:val="249801CA"/>
    <w:rsid w:val="38B63725"/>
    <w:rsid w:val="488B5BA8"/>
    <w:rsid w:val="4BD14713"/>
    <w:rsid w:val="4C2F6259"/>
    <w:rsid w:val="4C487ED1"/>
    <w:rsid w:val="5C615134"/>
    <w:rsid w:val="5C666CF3"/>
    <w:rsid w:val="6BC72901"/>
    <w:rsid w:val="6CB61280"/>
    <w:rsid w:val="6F166735"/>
    <w:rsid w:val="7BCF1213"/>
    <w:rsid w:val="7F9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font21"/>
    <w:basedOn w:val="7"/>
    <w:qFormat/>
    <w:uiPriority w:val="0"/>
    <w:rPr>
      <w:rFonts w:hint="eastAsia" w:ascii="宋体" w:hAnsi="宋体" w:eastAsia="宋体" w:cs="宋体"/>
      <w:b/>
      <w:color w:val="2E3033"/>
      <w:sz w:val="18"/>
      <w:szCs w:val="18"/>
      <w:u w:val="none"/>
    </w:rPr>
  </w:style>
  <w:style w:type="character" w:customStyle="1" w:styleId="10">
    <w:name w:val="font11"/>
    <w:basedOn w:val="7"/>
    <w:qFormat/>
    <w:uiPriority w:val="0"/>
    <w:rPr>
      <w:rFonts w:ascii="Arial" w:hAnsi="Arial" w:cs="Arial"/>
      <w:b/>
      <w:color w:val="2E3033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2019-07-20T03:48:00Z</dcterms:created>
  <dc:creator>zj</dc:creator>
  <cp:lastModifiedBy>星晚</cp:lastModifiedBy>
  <dcterms:modified xsi:type="dcterms:W3CDTF">2020-05-11T06:06:31Z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