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before="400"/>
      </w:pPr>
    </w:p>
    <w:p>
      <w:pPr>
        <w:spacing w:after="200" w:before="0" w:line="360" w:lineRule="auto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广州南方学院</w:t>
      </w:r>
    </w:p>
    <w:p>
      <w:pPr>
        <w:spacing w:after="200" w:before="0" w:line="360" w:lineRule="auto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工学院</w:t>
      </w:r>
    </w:p>
    <w:p>
      <w:pPr>
        <w:spacing w:before="600"/>
      </w:pPr>
    </w:p>
    <w:p>
      <w:pPr>
        <w:spacing w:after="20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8"/>
          <w:szCs w:val="28"/>
        </w:rPr>
        <w:t xml:space="preserve">课程名称：软件项目管理</w:t>
      </w:r>
    </w:p>
    <w:p>
      <w:pPr>
        <w:spacing w:before="300"/>
      </w:pPr>
    </w:p>
    <w:p>
      <w:pPr>
        <w:spacing w:after="200" w:before="0" w:line="360" w:lineRule="auto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项目名称：PetCare O2O 宠物护理线上线下融合平台</w:t>
      </w:r>
    </w:p>
    <w:p>
      <w:pPr>
        <w:spacing w:before="400"/>
      </w:pPr>
    </w:p>
    <w:p>
      <w:pPr>
        <w:spacing w:after="200" w:before="0" w:line="360" w:lineRule="auto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项目管理计划文档</w:t>
      </w:r>
    </w:p>
    <w:p>
      <w:pPr>
        <w:spacing w:before="800"/>
      </w:pPr>
    </w:p>
    <w:p>
      <w:pPr>
        <w:spacing w:after="20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8"/>
          <w:szCs w:val="28"/>
        </w:rPr>
        <w:t xml:space="preserve">（最新版）</w:t>
      </w:r>
    </w:p>
    <w:p>
      <w:pPr>
        <w:spacing w:before="1000"/>
      </w:pPr>
    </w:p>
    <w:p>
      <w:pPr>
        <w:spacing w:after="20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8"/>
          <w:szCs w:val="28"/>
        </w:rPr>
        <w:t xml:space="preserve">姓名：___________________</w:t>
      </w:r>
    </w:p>
    <w:p>
      <w:pPr>
        <w:spacing w:after="20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8"/>
          <w:szCs w:val="28"/>
        </w:rPr>
        <w:t xml:space="preserve">学号：___________________</w:t>
      </w:r>
    </w:p>
    <w:p>
      <w:pPr>
        <w:spacing w:after="20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8"/>
          <w:szCs w:val="28"/>
        </w:rPr>
        <w:t xml:space="preserve">成绩：___________________</w:t>
      </w:r>
    </w:p>
    <w:p>
      <w:pPr>
        <w:spacing w:before="600"/>
      </w:pPr>
    </w:p>
    <w:p>
      <w:pPr>
        <w:spacing w:after="200" w:before="0" w:line="360" w:lineRule="auto"/>
        <w:jc w:val="center"/>
      </w:pPr>
      <w:r>
        <w:rPr>
          <w:rFonts w:ascii="宋体" w:cs="宋体" w:eastAsia="宋体" w:hAnsi="宋体"/>
          <w:b w:val="false"/>
          <w:bCs w:val="false"/>
          <w:sz w:val="28"/>
          <w:szCs w:val="28"/>
        </w:rPr>
        <w:t xml:space="preserve">二〇二六年六月</w:t>
      </w:r>
    </w:p>
    <w:p>
      <w:r>
        <w:br w:type="page"/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 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第1章 项目章程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第2章 项目范围计划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项目范围说明书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工作分解结构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2.2.1 项目 WBS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第3章 项目进度计划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活动清单及持续时间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项目网络图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 项目进度安排甘特图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第4章 项目质量计划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4.1 质量目标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4.2 质量标准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4.3 质量范围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4.4 质量保证措施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4.5 质量控制措施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4.6 质量工具与技术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4.7 质量交付物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4.8 质量审核与改进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第5章 项目资源管理计划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5.1 资源管理目标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5.2 资源需求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5.2.1 资源需求列表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5.2.2 资源分解结构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5.3 项目组织及人员分工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5.3.1 组织结构图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5.3.2 责任分配矩阵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5.4 团队管理计划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5.4.1 团队培训计划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5.4.2 团队沟通计划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5.4.3 团队建设活动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5.4.4 绩效评估与激励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第6章 项目风险计划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6.1 风险识别方法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6.2 风险登记册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0" w:before="120"/>
        <w:jc w:val="center"/>
      </w:pPr>
      <w:r>
        <w:rPr>
          <w:rFonts w:ascii="宋体" w:cs="宋体" w:eastAsia="宋体" w:hAnsi="宋体"/>
          <w:i/>
          <w:iCs/>
          <w:color w:val="808080"/>
          <w:sz w:val="18"/>
          <w:szCs w:val="18"/>
        </w:rPr>
        <w:t xml:space="preserve">（提示：打开文档后右键目录，选择"更新域"以刷新页码）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20" w:before="240" w:line="360" w:lineRule="auto"/>
        <w:jc w:val="center"/>
      </w:pPr>
      <w:bookmarkStart w:id="100000" w:name="_Toc100000"/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第1章 项目章程</w:t>
      </w:r>
      <w:bookmarkEnd w:id="100000"/>
    </w:p>
    <w:p>
      <w:pPr>
        <w:keepNext/>
        <w:spacing w:after="60" w:before="12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表1-1 项目章程</w:t>
      </w:r>
    </w:p>
    <w:tbl>
      <w:tblPr>
        <w:tblW w:type="pct" w:w="100%"/>
        <w:jc w:val="center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1F3864" w:sz="6"/>
          <w:insideV w:val="single" w:color="1F3864" w:sz="6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2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项目名称</w:t>
            </w:r>
          </w:p>
        </w:tc>
        <w:tc>
          <w:tcPr>
            <w:tcW w:type="pct" w:w="7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PetCare O2O 宠物护理线上线下融合平台（H5 用户端 V1）</w:t>
            </w:r>
          </w:p>
        </w:tc>
      </w:tr>
      <w:tr>
        <w:trPr>
          <w:cantSplit/>
        </w:trPr>
        <w:tc>
          <w:tcPr>
            <w:tcW w:type="pct" w:w="22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项目经理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（待填，建议团队负责人）</w:t>
            </w:r>
          </w:p>
        </w:tc>
        <w:tc>
          <w:tcPr>
            <w:tcW w:type="pct" w:w="22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联系方式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（邮箱/电话）</w:t>
            </w:r>
          </w:p>
        </w:tc>
      </w:tr>
      <w:tr>
        <w:trPr>
          <w:cantSplit/>
        </w:trPr>
        <w:tc>
          <w:tcPr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项目开始时间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2026 年 3 月 2 日</w:t>
            </w:r>
          </w:p>
        </w:tc>
        <w:tc>
          <w:tcPr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项目结束时间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2026 年 6 月 30 日</w:t>
            </w:r>
          </w:p>
        </w:tc>
      </w:tr>
      <w:tr>
        <w:trPr>
          <w:cantSplit/>
        </w:trPr>
        <w:tc>
          <w:tcPr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项目目标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为单体宠物门店交付一个真实可用的线上业务入口。用户通过响应式 H5 完成服务浏览、预约、商品下单、社区互动和营销活动查看；门店通过 PC 管理端完成日常运营。成功标准不是功能数量，而是核心流程真实可运行、数据一致、移动端体验可用，并完成可重复演示验收。</w:t>
            </w:r>
          </w:p>
        </w:tc>
      </w:tr>
      <w:tr>
        <w:trPr>
          <w:cantSplit/>
        </w:trPr>
        <w:tc>
          <w:tcPr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建议方法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采用模块化单体架构、纵向切片交付与风险驱动测试。单仓库管理，Spring Boot REST API + MySQL 后端，UniApp H5 用户端，Vue 管理端。按里程碑 M0–M6 逐切片接通真实流程，每切片必须包含 API、前端页面、管理能力与测试，禁止用静态假数据冒充完成。</w:t>
            </w:r>
          </w:p>
        </w:tc>
      </w:tr>
      <w:tr>
        <w:trPr>
          <w:cantSplit/>
          <w:tblHeader/>
        </w:trPr>
        <w:tc>
          <w:tcPr>
            <w:tcW w:type="pct" w:w="22%"/>
            <w:vMerge w:val="restart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项目人员</w:t>
            </w:r>
          </w:p>
        </w:tc>
        <w:tc>
          <w:tcPr>
            <w:tcW w:type="pct" w:w="1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角色</w:t>
            </w:r>
          </w:p>
        </w:tc>
        <w:tc>
          <w:tcPr>
            <w:tcW w:type="pct" w:w="60%"/>
            <w:gridSpan w:val="2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职责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项目经理（PM）</w:t>
            </w:r>
          </w:p>
        </w:tc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统筹范围、进度、质量与风险；维护核心执行文档；驱动切片验收与交接。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后端开发</w:t>
            </w:r>
          </w:p>
        </w:tc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实现认证授权、预约排班、商品订单、社区审核与营销活动业务规则，保证事务、并发与权限。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前端开发</w:t>
            </w:r>
          </w:p>
        </w:tc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实现 H5 用户端（浏览、预约、购物、社区、活动）和管理端 Web 页面，接入真实 API。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测试与质量</w:t>
            </w:r>
          </w:p>
        </w:tc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编写并执行单元、集成与 E2E 测试，覆盖预约并发、订单金额、库存、权限与隐私。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文档与交付</w:t>
            </w:r>
          </w:p>
        </w:tc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维护需求、架构、测试与用户文档；准备演示数据与可重复验收证据。</w:t>
            </w:r>
          </w:p>
        </w:tc>
      </w:tr>
    </w:tbl>
    <w:p>
      <w:pPr>
        <w:spacing w:after="0" w:before="0" w:line="300" w:lineRule="auto"/>
      </w:pP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bookmarkStart w:id="100001" w:name="_Toc100001"/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第2章 项目范围计划</w:t>
      </w:r>
      <w:bookmarkEnd w:id="100001"/>
    </w:p>
    <w:p>
      <w:pPr>
        <w:pStyle w:val="Heading2"/>
        <w:spacing w:after="100" w:before="200" w:line="360" w:lineRule="auto"/>
        <w:jc w:val="left"/>
      </w:pPr>
      <w:bookmarkStart w:id="100002" w:name="_Toc100002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2.1 项目范围说明书</w:t>
      </w:r>
      <w:bookmarkEnd w:id="100002"/>
    </w:p>
    <w:p>
      <w:pPr>
        <w:keepNext/>
        <w:spacing w:after="60" w:before="12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表2-1 项目范围说明</w:t>
      </w:r>
    </w:p>
    <w:tbl>
      <w:tblPr>
        <w:tblW w:type="pct" w:w="100%"/>
        <w:jc w:val="center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1F3864" w:sz="6"/>
          <w:insideV w:val="single" w:color="1F3864" w:sz="6"/>
        </w:tblBorders>
      </w:tblPr>
      <w:tblGrid>
        <w:gridCol w:w="100"/>
        <w:gridCol w:w="100"/>
      </w:tblGrid>
      <w:tr>
        <w:trPr>
          <w:cantSplit/>
        </w:trPr>
        <w:tc>
          <w:tcPr>
            <w:gridSpan w:val="2"/>
            <w:shd w:fill="4472C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1. 项目基本情况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项目名称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PetCare O2O 宠物护理线上线下融合平台（H5 用户端 V1）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完成日期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2026 年 6 月 30 日</w:t>
            </w:r>
          </w:p>
        </w:tc>
      </w:tr>
      <w:tr>
        <w:trPr>
          <w:cantSplit/>
        </w:trPr>
        <w:tc>
          <w:tcPr>
            <w:gridSpan w:val="2"/>
            <w:shd w:fill="4472C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2. 项目描述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2.1 项目背景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单体宠物门店缺乏线上业务入口，用户无法在线浏览服务、预约、购物和互动，门店难以数字化运营。本项目为其构建一个真实可用的线上化系统。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2.2 项目目标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交付响应式 H5 用户端与 PC 管理端，覆盖公开浏览、用户资料、预约、商品订单、社区互动与营销活动；核心流程真实可运行、数据一致、移动端体验可用。</w:t>
            </w:r>
          </w:p>
        </w:tc>
      </w:tr>
      <w:tr>
        <w:trPr>
          <w:cantSplit/>
        </w:trPr>
        <w:tc>
          <w:tcPr>
            <w:gridSpan w:val="2"/>
            <w:shd w:fill="4472C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3. 项目范围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3.1 产品范围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用户资料与宠物档案、服务展示、预约排班与距离/容量控制、商品与购物车、订单金额与库存、社区发帖/点赞/评论/收藏、营销活动展示与关联、管理端业务处理。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3.2 项目工作范围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需求基线与架构文档、数据库设计、后端 REST API、H5 用户端、PC 管理端、单元/集成/E2E 测试、演示种子数据、部署构建与用户文档。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3.3 不包括的范围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在线支付与退款、多门店、独立员工端、优惠券、会员积分、配送系统、复杂社交、推荐算法、AI 助手/AI 营销/AI 诊断、微信登录与小程序专项适配（均延后）。</w:t>
            </w:r>
          </w:p>
        </w:tc>
      </w:tr>
      <w:tr>
        <w:trPr>
          <w:cantSplit/>
        </w:trPr>
        <w:tc>
          <w:tcPr>
            <w:gridSpan w:val="2"/>
            <w:shd w:fill="4472C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4. 双方的职责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开发团队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按切片完成分析、实现、测试、修复与交接；维护核心文档；保证业务规则、权限与数据一致。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指导教师/评审方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提供需求与验收标准，参与里程碑评审，对范围变更与未决事项作出决定。</w:t>
            </w:r>
          </w:p>
        </w:tc>
      </w:tr>
      <w:tr>
        <w:trPr>
          <w:cantSplit/>
        </w:trPr>
        <w:tc>
          <w:tcPr>
            <w:gridSpan w:val="2"/>
            <w:shd w:fill="4472C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5. 交付成果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交付物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可运行的 H5 用户端与 PC 管理端、Spring Boot 后端服务、MySQL 数据库与种子数据、自动化测试套件、需求/架构/测试/用户文档、项目管理计划文档。</w:t>
            </w:r>
          </w:p>
        </w:tc>
      </w:tr>
      <w:tr>
        <w:trPr>
          <w:cantSplit/>
        </w:trPr>
        <w:tc>
          <w:tcPr>
            <w:gridSpan w:val="2"/>
            <w:shd w:fill="4472C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6. 验收标准和验收流程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6.1 产品验收标准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公开浏览不依赖静态假数据；测试身份可完成资料/宠物/地址维护；一次预约能从 H5 创建并在管理端处理；商品可加入购物车并提交真实订单；社区发帖/点赞/评论/收藏可重复验证；管理员发布活动后用户可在 H5 查看。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6.2 工作验收标准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相关自动化测试通过；关键失败路径有明确错误反馈；git diff --check 通过；核心流程有可重复验证证据。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6.3 验收流程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①开发团队提交切片并自测；②演示端到端正常流程与一个失败路径；③评审方按完成定义核对；④通过后形成提交，未通过则返工。</w:t>
            </w:r>
          </w:p>
        </w:tc>
      </w:tr>
      <w:tr>
        <w:trPr>
          <w:cantSplit/>
        </w:trPr>
        <w:tc>
          <w:tcPr>
            <w:gridSpan w:val="2"/>
            <w:shd w:fill="4472C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7. 项目的约束条件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约束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单门店模块化单体（不得改为微服务）；单仓库；H5 优先（微信登录/小程序延后）；AI 保持禁用；价格/库存/订单金额/预约容量必须由服务端决定；不接入在线支付。</w:t>
            </w:r>
          </w:p>
        </w:tc>
      </w:tr>
      <w:tr>
        <w:trPr>
          <w:cantSplit/>
        </w:trPr>
        <w:tc>
          <w:tcPr>
            <w:gridSpan w:val="2"/>
            <w:shd w:fill="4472C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8. 前提和假设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假设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团队具备 Java、Spring Boot、Vue、UniApp 与 MySQL 基础能力；开发与测试环境可用；门店业务规则在需求阶段已明确；正式公开登录方式采用手机号+密码与安全问题找回。</w:t>
            </w:r>
          </w:p>
        </w:tc>
      </w:tr>
      <w:tr>
        <w:trPr>
          <w:cantSplit/>
        </w:trPr>
        <w:tc>
          <w:tcPr>
            <w:gridSpan w:val="2"/>
            <w:shd w:fill="4472C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9. 变更流程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9.1 变更管理组织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由项目经理与指导教师组成变更评审小组；范围相关变更须更新 docs/ 核心文档。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9.2 变更管理流程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提出变更 → 评估影响（范围/进度/风险）→ 评审小组决策 → 更新文档与任务分解 → 执行并验证。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9.3 决策与仲裁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优先按文档优先级（AGENTS.md &gt; requirements-source.md &gt; …）决策；无法达成一致时由指导教师裁定。</w:t>
            </w:r>
          </w:p>
        </w:tc>
      </w:tr>
      <w:tr>
        <w:trPr>
          <w:cantSplit/>
        </w:trPr>
        <w:tc>
          <w:tcPr>
            <w:gridSpan w:val="2"/>
            <w:shd w:fill="4472C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10. 相关文档</w:t>
            </w:r>
          </w:p>
        </w:tc>
      </w:tr>
      <w:tr>
        <w:trPr>
          <w:cantSplit/>
        </w:trPr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相关文档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AGENTS.md、README.md、docs/requirements-source.md、docs/00-project-boundary.md、docs/01-architecture-design.md、docs/02-task-breakdown.md、docs/05-testing-and-verification.md、docs/08-pending-decisions.md。</w:t>
            </w:r>
          </w:p>
        </w:tc>
      </w:tr>
    </w:tbl>
    <w:p>
      <w:pPr>
        <w:spacing w:after="0" w:before="0" w:line="300" w:lineRule="auto"/>
      </w:pPr>
    </w:p>
    <w:p>
      <w:pPr>
        <w:pStyle w:val="Heading2"/>
        <w:spacing w:after="100" w:before="200" w:line="360" w:lineRule="auto"/>
        <w:jc w:val="left"/>
      </w:pPr>
      <w:bookmarkStart w:id="100003" w:name="_Toc100003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2.2 工作分解结构</w:t>
      </w:r>
      <w:bookmarkEnd w:id="100003"/>
    </w:p>
    <w:p>
      <w:pPr>
        <w:pStyle w:val="Heading3"/>
        <w:spacing w:after="80" w:before="160" w:line="360" w:lineRule="auto"/>
        <w:jc w:val="left"/>
      </w:pPr>
      <w:bookmarkStart w:id="100004" w:name="_Toc100004"/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2.2.1 项目 WBS</w:t>
      </w:r>
      <w:bookmarkEnd w:id="100004"/>
    </w:p>
    <w:p>
      <w:pPr>
        <w:spacing w:after="40" w:before="8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图2-1 PetCare O2O 项目工作分解结构（WBS）</w:t>
      </w:r>
    </w:p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WBS 一级包共 6 个：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①需求与设计；②后端服务；③用户 H5 前端；④管理端 Web；⑤测试与验收；⑥部署与上线。每个工作包进一步分解为可独立验收的活动，活动详情见第 3 章活动清单。</w:t>
      </w: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bookmarkStart w:id="100005" w:name="_Toc100005"/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第3章 项目进度计划</w:t>
      </w:r>
      <w:bookmarkEnd w:id="100005"/>
    </w:p>
    <w:p>
      <w:pPr>
        <w:pStyle w:val="Heading2"/>
        <w:spacing w:after="100" w:before="200" w:line="360" w:lineRule="auto"/>
        <w:jc w:val="left"/>
      </w:pPr>
      <w:bookmarkStart w:id="100006" w:name="_Toc100006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3.1 活动清单及持续时间</w:t>
      </w:r>
      <w:bookmarkEnd w:id="100006"/>
    </w:p>
    <w:p>
      <w:pPr>
        <w:keepNext/>
        <w:spacing w:after="60" w:before="12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表3-1 项目活动清单及持续时间</w:t>
      </w:r>
    </w:p>
    <w:tbl>
      <w:tblPr>
        <w:tblW w:type="pct" w:w="100%"/>
        <w:jc w:val="center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1F3864" w:sz="6"/>
          <w:insideV w:val="single" w:color="1F3864" w:sz="6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序号</w:t>
            </w:r>
          </w:p>
        </w:tc>
        <w:tc>
          <w:tcPr>
            <w:tcW w:type="pct" w:w="44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活动</w:t>
            </w:r>
          </w:p>
        </w:tc>
        <w:tc>
          <w:tcPr>
            <w:tcW w:type="pct" w:w="1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紧前活动</w:t>
            </w:r>
          </w:p>
        </w:tc>
        <w:tc>
          <w:tcPr>
            <w:tcW w:type="pct" w:w="30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时间（工作日）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需求基线与架构定稿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5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开发环境与数据库搭建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4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认证授权与用户资料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6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预约与排班（距离/容量/并发）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15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商品、购物车与订单（事务/库存）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18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社区发帖/互动与审核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营销活动展示与关联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6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H5 公开浏览流程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H5 预约/购物/社区流程联调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4,5,6,8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12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PC 管理端业务处理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14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单元测试与集成测试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4,5,6,9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端到端测试与回归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10,11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8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演示数据与部署构建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5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验收与上线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12,13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6</w:t>
            </w:r>
          </w:p>
        </w:tc>
      </w:tr>
    </w:tbl>
    <w:p>
      <w:pPr>
        <w:spacing w:after="0" w:before="0" w:line="300" w:lineRule="auto"/>
      </w:pPr>
    </w:p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项目总工期约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14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项活动、累计 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约 60 个工作日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（按关键路径计）。关键路径为：活动 1→2→3→5→9→11→12→14。</w:t>
      </w:r>
    </w:p>
    <w:p>
      <w:pPr>
        <w:pStyle w:val="Heading2"/>
        <w:spacing w:after="100" w:before="200" w:line="360" w:lineRule="auto"/>
        <w:jc w:val="left"/>
      </w:pPr>
      <w:bookmarkStart w:id="100007" w:name="_Toc100007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3.2 项目网络图</w:t>
      </w:r>
      <w:bookmarkEnd w:id="100007"/>
    </w:p>
    <w:p>
      <w:pPr>
        <w:spacing w:after="40" w:before="80"/>
        <w:jc w:val="center"/>
      </w:pPr>
      <w:r>
        <w:drawing>
          <wp:inline distT="0" distB="0" distL="0" distR="0">
            <wp:extent cx="5905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图3-1 PetCare O2O 项目网络图（单代号 AON）</w:t>
      </w:r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网络图采用单代号法（AON）绘制，节点表示活动，箭线表示依赖关系。关键路径上的任一活动延期都会直接影响项目总工期，需重点保障资源与进度。</w:t>
      </w:r>
    </w:p>
    <w:p>
      <w:pPr>
        <w:pStyle w:val="Heading2"/>
        <w:spacing w:after="100" w:before="200" w:line="360" w:lineRule="auto"/>
        <w:jc w:val="left"/>
      </w:pPr>
      <w:bookmarkStart w:id="100008" w:name="_Toc100008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3.3 项目进度安排甘特图</w:t>
      </w:r>
      <w:bookmarkEnd w:id="100008"/>
    </w:p>
    <w:p>
      <w:pPr>
        <w:spacing w:after="40" w:before="8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图3-2 PetCare O2O 项目进度甘特图</w:t>
      </w:r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甘特图以工作日为横轴，红色为关键路径任务，蓝色为非关键路径任务。每 10 个工作日设置一个里程碑节点（M0–M6 对应文档中的里程碑划分），便于进度跟踪与风险预警。</w:t>
      </w: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bookmarkStart w:id="100009" w:name="_Toc100009"/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第4章 项目质量计划</w:t>
      </w:r>
      <w:bookmarkEnd w:id="100009"/>
    </w:p>
    <w:p>
      <w:pPr>
        <w:pStyle w:val="Heading2"/>
        <w:spacing w:after="100" w:before="200" w:line="360" w:lineRule="auto"/>
        <w:jc w:val="left"/>
      </w:pPr>
      <w:bookmarkStart w:id="100010" w:name="_Toc100010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4.1 质量目标</w:t>
      </w:r>
      <w:bookmarkEnd w:id="100010"/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以“核心流程真实可运行、数据一致、移动端体验可用、关键业务规则无回归”为质量总目标。具体包括：核心业务规则测试覆盖率不低于 80%；预约并发、订单金额与库存、权限与隐私相关缺陷为 0；公开接口不泄露用户私有数据；管理端高风险操作必须由后端校验。</w:t>
      </w:r>
    </w:p>
    <w:p>
      <w:pPr>
        <w:pStyle w:val="Heading2"/>
        <w:spacing w:after="100" w:before="200" w:line="360" w:lineRule="auto"/>
        <w:jc w:val="left"/>
      </w:pPr>
      <w:bookmarkStart w:id="100011" w:name="_Toc100011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4.2 质量标准</w:t>
      </w:r>
      <w:bookmarkEnd w:id="100011"/>
    </w:p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遵循项目既定标准：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（1）Controller 不直接编排 Mapper 完成业务流程；（2）多表状态变更、库存扣减、订单金额、预约占用必须使用事务并由服务端校验；（3）所有外部输入必须校验，错误响应不得泄露 SQL、堆栈、密钥或 Provider 原始错误；（4）密码、Token、API Key、数据库凭据不得硬编码；（5）公开接口必须使用专门的公开响应模型。</w:t>
      </w:r>
    </w:p>
    <w:p>
      <w:pPr>
        <w:pStyle w:val="Heading2"/>
        <w:spacing w:after="100" w:before="200" w:line="360" w:lineRule="auto"/>
        <w:jc w:val="left"/>
      </w:pPr>
      <w:bookmarkStart w:id="100012" w:name="_Toc100012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4.3 质量范围</w:t>
      </w:r>
      <w:bookmarkEnd w:id="100012"/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覆盖认证授权、预约（距离/容量/并发/幂等/状态流转）、商品订单（价格/库存/事务/状态流转）、社区（发布/互动权限/审核）、管理端高风险操作与公开数据隐私。UI、文档与配置按风险酌情验证。</w:t>
      </w:r>
    </w:p>
    <w:p>
      <w:pPr>
        <w:pStyle w:val="Heading2"/>
        <w:spacing w:after="100" w:before="200" w:line="360" w:lineRule="auto"/>
        <w:jc w:val="left"/>
      </w:pPr>
      <w:bookmarkStart w:id="100013" w:name="_Toc100013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4.4 质量保证措施</w:t>
      </w:r>
      <w:bookmarkEnd w:id="100013"/>
    </w:p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（1）纵向切片交付，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每切片同时含 API、前端、管理能力与测试；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（2）风险驱动测试，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高风险规则先写失败测试再实现；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（3）代码评审，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提交前检查 git diff --check 与相关测试；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（4）文档与代码一致，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核心文档维护单一事实来源。</w:t>
      </w:r>
    </w:p>
    <w:p>
      <w:pPr>
        <w:pStyle w:val="Heading2"/>
        <w:spacing w:after="100" w:before="200" w:line="360" w:lineRule="auto"/>
        <w:jc w:val="left"/>
      </w:pPr>
      <w:bookmarkStart w:id="100014" w:name="_Toc100014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4.5 质量控制措施</w:t>
      </w:r>
      <w:bookmarkEnd w:id="100014"/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通过持续集成、自动化测试与人工评审控制质量。后端运行 mvn test，管理端运行 npm run test 与 npm run build，H5 运行 npm run typecheck、npm run test 与 npm run build:h5。关键变更逻辑覆盖率不低于 80%。</w:t>
      </w:r>
    </w:p>
    <w:p>
      <w:pPr>
        <w:pStyle w:val="Heading2"/>
        <w:spacing w:after="100" w:before="200" w:line="360" w:lineRule="auto"/>
        <w:jc w:val="left"/>
      </w:pPr>
      <w:bookmarkStart w:id="100015" w:name="_Toc100015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4.6 质量工具与技术</w:t>
      </w:r>
      <w:bookmarkEnd w:id="100015"/>
    </w:p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测试框架：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后端 JUnit/MockMvc；前端 Vitest；E2E Playwright。</w:t>
      </w:r>
    </w:p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静态检查：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TypeScript typecheck、ESLint；构建产物校验。</w:t>
      </w:r>
    </w:p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版本与差异：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Git 分支策略、git diff --check、git status 核对。</w:t>
      </w:r>
    </w:p>
    <w:p>
      <w:pPr>
        <w:pStyle w:val="Heading2"/>
        <w:spacing w:after="100" w:before="200" w:line="360" w:lineRule="auto"/>
        <w:jc w:val="left"/>
      </w:pPr>
      <w:bookmarkStart w:id="100016" w:name="_Toc100016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4.7 质量交付物</w:t>
      </w:r>
      <w:bookmarkEnd w:id="100016"/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测试用例与测试报告、覆盖率报告、缺陷登记与修复记录、构建与部署脚本、验收演示记录与用户文档。</w:t>
      </w:r>
    </w:p>
    <w:p>
      <w:pPr>
        <w:pStyle w:val="Heading2"/>
        <w:spacing w:after="100" w:before="200" w:line="360" w:lineRule="auto"/>
        <w:jc w:val="left"/>
      </w:pPr>
      <w:bookmarkStart w:id="100017" w:name="_Toc100017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4.8 质量审核与改进</w:t>
      </w:r>
      <w:bookmarkEnd w:id="100017"/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每个里程碑（M1–M6）进行一次质量评审，对照完成定义核对：用户流程真实可运行、后端业务规则与权限生效、自动化测试与构建通过、关键失败路径有明确错误反馈。发现问题进入下一迭代改进，并将重要决定更新到核心文档。</w:t>
      </w: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bookmarkStart w:id="100018" w:name="_Toc100018"/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第5章 项目资源管理计划</w:t>
      </w:r>
      <w:bookmarkEnd w:id="100018"/>
    </w:p>
    <w:p>
      <w:pPr>
        <w:pStyle w:val="Heading2"/>
        <w:spacing w:after="100" w:before="200" w:line="360" w:lineRule="auto"/>
        <w:jc w:val="left"/>
      </w:pPr>
      <w:bookmarkStart w:id="100019" w:name="_Toc100019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5.1 资源管理目标</w:t>
      </w:r>
      <w:bookmarkEnd w:id="100019"/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以最少流程成本持续交付可运行、可验证的 H5 产品。合理配置人力、技术、数据与文档资源，保证关键路径任务优先获得资源，避免浪费在无关重构或重复造轮子上。</w:t>
      </w:r>
    </w:p>
    <w:p>
      <w:pPr>
        <w:pStyle w:val="Heading2"/>
        <w:spacing w:after="100" w:before="200" w:line="360" w:lineRule="auto"/>
        <w:jc w:val="left"/>
      </w:pPr>
      <w:bookmarkStart w:id="100020" w:name="_Toc100020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5.2 资源需求</w:t>
      </w:r>
      <w:bookmarkEnd w:id="100020"/>
    </w:p>
    <w:p>
      <w:pPr>
        <w:pStyle w:val="Heading3"/>
        <w:spacing w:after="80" w:before="160" w:line="360" w:lineRule="auto"/>
        <w:jc w:val="left"/>
      </w:pPr>
      <w:bookmarkStart w:id="100021" w:name="_Toc100021"/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5.2.1 资源需求列表</w:t>
      </w:r>
      <w:bookmarkEnd w:id="100021"/>
    </w:p>
    <w:p>
      <w:pPr>
        <w:keepNext/>
        <w:spacing w:after="60" w:before="12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表5-1 项目资源需求列表</w:t>
      </w:r>
    </w:p>
    <w:tbl>
      <w:tblPr>
        <w:tblW w:type="pct" w:w="100%"/>
        <w:jc w:val="center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1F3864" w:sz="6"/>
          <w:insideV w:val="single" w:color="1F3864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序号</w:t>
            </w:r>
          </w:p>
        </w:tc>
        <w:tc>
          <w:tcPr>
            <w:tcW w:type="pct" w:w="14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资源类型</w:t>
            </w:r>
          </w:p>
        </w:tc>
        <w:tc>
          <w:tcPr>
            <w:tcW w:type="pct" w:w="20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资源名称</w:t>
            </w:r>
          </w:p>
        </w:tc>
        <w:tc>
          <w:tcPr>
            <w:tcW w:type="pct" w:w="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数量</w:t>
            </w:r>
          </w:p>
        </w:tc>
        <w:tc>
          <w:tcPr>
            <w:tcW w:type="pct" w:w="27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要求</w:t>
            </w:r>
          </w:p>
        </w:tc>
        <w:tc>
          <w:tcPr>
            <w:tcW w:type="pct" w:w="24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使用时间段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人力资源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项目经理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统筹与文档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全程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人力资源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后端开发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Java/Spring Boot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活动 2–11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人力资源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前端开发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Vue/UniApp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活动 8–11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人力资源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测试工程师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测试与验收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活动 11–14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技术资源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开发与测试环境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JDK/Maven/Node/MySQL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全程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技术资源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版本管理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Git 仓库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全程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数据资源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演示种子数据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可重复执行 SQL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活动 2 起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文档资源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核心执行文档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docs/ 目录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全程</w:t>
            </w:r>
          </w:p>
        </w:tc>
      </w:tr>
    </w:tbl>
    <w:p>
      <w:pPr>
        <w:spacing w:after="0" w:before="0" w:line="300" w:lineRule="auto"/>
      </w:pPr>
    </w:p>
    <w:p>
      <w:pPr>
        <w:pStyle w:val="Heading3"/>
        <w:spacing w:after="80" w:before="160" w:line="360" w:lineRule="auto"/>
        <w:jc w:val="left"/>
      </w:pPr>
      <w:bookmarkStart w:id="100022" w:name="_Toc100022"/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5.2.2 资源分解结构</w:t>
      </w:r>
      <w:bookmarkEnd w:id="100022"/>
    </w:p>
    <w:p>
      <w:pPr>
        <w:spacing w:after="40" w:before="8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图5-1 项目资源分解结构（RBS）</w:t>
      </w:r>
    </w:p>
    <w:p>
      <w:pPr>
        <w:pStyle w:val="Heading2"/>
        <w:spacing w:after="100" w:before="200" w:line="360" w:lineRule="auto"/>
        <w:jc w:val="left"/>
      </w:pPr>
      <w:bookmarkStart w:id="100023" w:name="_Toc100023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5.3 项目组织及人员分工</w:t>
      </w:r>
      <w:bookmarkEnd w:id="100023"/>
    </w:p>
    <w:p>
      <w:pPr>
        <w:pStyle w:val="Heading3"/>
        <w:spacing w:after="80" w:before="160" w:line="360" w:lineRule="auto"/>
        <w:jc w:val="left"/>
      </w:pPr>
      <w:bookmarkStart w:id="100024" w:name="_Toc100024"/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5.3.1 组织结构图</w:t>
      </w:r>
      <w:bookmarkEnd w:id="100024"/>
    </w:p>
    <w:p>
      <w:pPr>
        <w:spacing w:after="40" w:before="80"/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图5-2 项目组织结构图</w:t>
      </w:r>
    </w:p>
    <w:p>
      <w:pPr>
        <w:pStyle w:val="Heading3"/>
        <w:spacing w:after="80" w:before="160" w:line="360" w:lineRule="auto"/>
        <w:jc w:val="left"/>
      </w:pPr>
      <w:bookmarkStart w:id="100025" w:name="_Toc100025"/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5.3.2 责任分配矩阵</w:t>
      </w:r>
      <w:bookmarkEnd w:id="100025"/>
    </w:p>
    <w:p>
      <w:pPr>
        <w:keepNext/>
        <w:spacing w:after="60" w:before="12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表5-2 责任分配矩阵</w:t>
      </w:r>
    </w:p>
    <w:tbl>
      <w:tblPr>
        <w:tblW w:type="pct" w:w="100%"/>
        <w:jc w:val="center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1F3864" w:sz="6"/>
          <w:insideV w:val="single" w:color="1F3864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活动 \ 人员</w:t>
            </w:r>
          </w:p>
        </w:tc>
        <w:tc>
          <w:tcPr>
            <w:tcW w:type="pct" w:w="15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项目经理</w:t>
            </w:r>
          </w:p>
        </w:tc>
        <w:tc>
          <w:tcPr>
            <w:tcW w:type="pct" w:w="15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后端组</w:t>
            </w:r>
          </w:p>
        </w:tc>
        <w:tc>
          <w:tcPr>
            <w:tcW w:type="pct" w:w="15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前端组</w:t>
            </w:r>
          </w:p>
        </w:tc>
        <w:tc>
          <w:tcPr>
            <w:tcW w:type="pct" w:w="15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测试组</w:t>
            </w:r>
          </w:p>
        </w:tc>
        <w:tc>
          <w:tcPr>
            <w:tcW w:type="pct" w:w="16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文档组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需求与设计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I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后端服务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I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H5 用户端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I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管理端 Web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I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测试与验收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R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部署与上线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C</w:t>
            </w:r>
          </w:p>
        </w:tc>
      </w:tr>
    </w:tbl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说明：R=负责执行，A=批准/负责，C=咨询，I=知情。</w:t>
      </w:r>
    </w:p>
    <w:p>
      <w:pPr>
        <w:spacing w:after="0" w:before="0" w:line="300" w:lineRule="auto"/>
      </w:pPr>
    </w:p>
    <w:p>
      <w:pPr>
        <w:pStyle w:val="Heading2"/>
        <w:spacing w:after="100" w:before="200" w:line="360" w:lineRule="auto"/>
        <w:jc w:val="left"/>
      </w:pPr>
      <w:bookmarkStart w:id="100026" w:name="_Toc100026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5.4 团队管理计划</w:t>
      </w:r>
      <w:bookmarkEnd w:id="100026"/>
    </w:p>
    <w:p>
      <w:pPr>
        <w:pStyle w:val="Heading3"/>
        <w:spacing w:after="80" w:before="160" w:line="360" w:lineRule="auto"/>
        <w:jc w:val="left"/>
      </w:pPr>
      <w:bookmarkStart w:id="100027" w:name="_Toc100027"/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5.4.1 团队培训计划</w:t>
      </w:r>
      <w:bookmarkEnd w:id="100027"/>
    </w:p>
    <w:p>
      <w:pPr>
        <w:keepNext/>
        <w:spacing w:after="60" w:before="12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表5-3 团队培训计划</w:t>
      </w:r>
    </w:p>
    <w:tbl>
      <w:tblPr>
        <w:tblW w:type="pct" w:w="100%"/>
        <w:jc w:val="center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1F3864" w:sz="6"/>
          <w:insideV w:val="single" w:color="1F3864" w:sz="6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序号</w:t>
            </w:r>
          </w:p>
        </w:tc>
        <w:tc>
          <w:tcPr>
            <w:tcW w:type="pct" w:w="2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培训内容</w:t>
            </w:r>
          </w:p>
        </w:tc>
        <w:tc>
          <w:tcPr>
            <w:tcW w:type="pct" w:w="30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培训目的</w:t>
            </w:r>
          </w:p>
        </w:tc>
        <w:tc>
          <w:tcPr>
            <w:tcW w:type="pct" w:w="1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培训对象</w:t>
            </w:r>
          </w:p>
        </w:tc>
        <w:tc>
          <w:tcPr>
            <w:tcW w:type="pct" w:w="16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责任人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Spring Boot 与事务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统一业务规则与事务边界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后端组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后端组长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UniApp H5 与 Vue 管理端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统一 H5 构建与组件复用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前端组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前端组长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风险驱动测试方法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先写失败测试再实现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全员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测试工程师</w:t>
            </w:r>
          </w:p>
        </w:tc>
      </w:tr>
    </w:tbl>
    <w:p>
      <w:pPr>
        <w:spacing w:after="0" w:before="0" w:line="300" w:lineRule="auto"/>
      </w:pPr>
    </w:p>
    <w:p>
      <w:pPr>
        <w:pStyle w:val="Heading3"/>
        <w:spacing w:after="80" w:before="160" w:line="360" w:lineRule="auto"/>
        <w:jc w:val="left"/>
      </w:pPr>
      <w:bookmarkStart w:id="100028" w:name="_Toc100028"/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5.4.2 团队沟通计划</w:t>
      </w:r>
      <w:bookmarkEnd w:id="100028"/>
    </w:p>
    <w:p>
      <w:pPr>
        <w:keepNext/>
        <w:spacing w:after="60" w:before="12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表5-4 沟通计划表</w:t>
      </w:r>
    </w:p>
    <w:tbl>
      <w:tblPr>
        <w:tblW w:type="pct" w:w="100%"/>
        <w:jc w:val="center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1F3864" w:sz="6"/>
          <w:insideV w:val="single" w:color="1F3864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序号</w:t>
            </w:r>
          </w:p>
        </w:tc>
        <w:tc>
          <w:tcPr>
            <w:tcW w:type="pct" w:w="22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沟通内容</w:t>
            </w:r>
          </w:p>
        </w:tc>
        <w:tc>
          <w:tcPr>
            <w:tcW w:type="pct" w:w="13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频率</w:t>
            </w:r>
          </w:p>
        </w:tc>
        <w:tc>
          <w:tcPr>
            <w:tcW w:type="pct" w:w="1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参与者</w:t>
            </w:r>
          </w:p>
        </w:tc>
        <w:tc>
          <w:tcPr>
            <w:tcW w:type="pct" w:w="1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形式</w:t>
            </w:r>
          </w:p>
        </w:tc>
        <w:tc>
          <w:tcPr>
            <w:tcW w:type="pct" w:w="22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输出文档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每日进度同步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每日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全员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站会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当日待办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切片验收评审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每切片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PM + 相关组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演示评审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验收记录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里程碑评审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每里程碑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全员 + 指导教师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评审会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里程碑报告</w:t>
            </w:r>
          </w:p>
        </w:tc>
      </w:tr>
    </w:tbl>
    <w:p>
      <w:pPr>
        <w:spacing w:after="0" w:before="0" w:line="300" w:lineRule="auto"/>
      </w:pPr>
    </w:p>
    <w:p>
      <w:pPr>
        <w:pStyle w:val="Heading3"/>
        <w:spacing w:after="80" w:before="160" w:line="360" w:lineRule="auto"/>
        <w:jc w:val="left"/>
      </w:pPr>
      <w:bookmarkStart w:id="100029" w:name="_Toc100029"/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5.4.3 团队建设活动</w:t>
      </w:r>
      <w:bookmarkEnd w:id="100029"/>
    </w:p>
    <w:p>
      <w:pPr>
        <w:keepNext/>
        <w:spacing w:after="60" w:before="12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表5-5 团建活动表</w:t>
      </w:r>
    </w:p>
    <w:tbl>
      <w:tblPr>
        <w:tblW w:type="pct" w:w="100%"/>
        <w:jc w:val="center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1F3864" w:sz="6"/>
          <w:insideV w:val="single" w:color="1F3864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序号</w:t>
            </w:r>
          </w:p>
        </w:tc>
        <w:tc>
          <w:tcPr>
            <w:tcW w:type="pct" w:w="1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活动类型</w:t>
            </w:r>
          </w:p>
        </w:tc>
        <w:tc>
          <w:tcPr>
            <w:tcW w:type="pct" w:w="12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频率</w:t>
            </w:r>
          </w:p>
        </w:tc>
        <w:tc>
          <w:tcPr>
            <w:tcW w:type="pct" w:w="1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参与者</w:t>
            </w:r>
          </w:p>
        </w:tc>
        <w:tc>
          <w:tcPr>
            <w:tcW w:type="pct" w:w="24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内容</w:t>
            </w:r>
          </w:p>
        </w:tc>
        <w:tc>
          <w:tcPr>
            <w:tcW w:type="pct" w:w="20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目标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技术分享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双周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全员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专题分享与答疑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提升技能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代码评审会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每周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开发组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关键切片互评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保证质量</w:t>
            </w:r>
          </w:p>
        </w:tc>
      </w:tr>
    </w:tbl>
    <w:p>
      <w:pPr>
        <w:spacing w:after="0" w:before="0" w:line="300" w:lineRule="auto"/>
      </w:pPr>
    </w:p>
    <w:p>
      <w:pPr>
        <w:pStyle w:val="Heading3"/>
        <w:spacing w:after="80" w:before="160" w:line="360" w:lineRule="auto"/>
        <w:jc w:val="left"/>
      </w:pPr>
      <w:bookmarkStart w:id="100030" w:name="_Toc100030"/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5.4.4 绩效评估与激励</w:t>
      </w:r>
      <w:bookmarkEnd w:id="100030"/>
    </w:p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绩效考核指标</w:t>
      </w:r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切片交付质量（测试通过率、缺陷数）、按时交付率、文档与代码一致性、协作与沟通（评审反馈与响应）。</w:t>
      </w:r>
    </w:p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激励方案</w:t>
      </w:r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对高质量完成关键切片的成员在里程碑评审中表彰；优秀实现可作为范例纳入团队知识库；根据贡献分配后续高价值任务。</w:t>
      </w:r>
    </w:p>
    <w:p>
      <w:r>
        <w:br w:type="page"/>
      </w:r>
    </w:p>
    <w:p>
      <w:pPr>
        <w:pStyle w:val="Heading1"/>
        <w:spacing w:after="120" w:before="240" w:line="360" w:lineRule="auto"/>
        <w:jc w:val="center"/>
      </w:pPr>
      <w:bookmarkStart w:id="100031" w:name="_Toc100031"/>
      <w:r>
        <w:rPr>
          <w:rFonts w:ascii="黑体" w:cs="黑体" w:eastAsia="黑体" w:hAnsi="黑体"/>
          <w:b/>
          <w:bCs/>
          <w:color w:val="000000"/>
          <w:sz w:val="32"/>
          <w:szCs w:val="32"/>
        </w:rPr>
        <w:t xml:space="preserve">第6章 项目风险计划</w:t>
      </w:r>
      <w:bookmarkEnd w:id="100031"/>
    </w:p>
    <w:p>
      <w:pPr>
        <w:pStyle w:val="Heading2"/>
        <w:spacing w:after="100" w:before="200" w:line="360" w:lineRule="auto"/>
        <w:jc w:val="left"/>
      </w:pPr>
      <w:bookmarkStart w:id="100032" w:name="_Toc100032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6.1 风险识别方法</w:t>
      </w:r>
      <w:bookmarkEnd w:id="100032"/>
    </w:p>
    <w:p>
      <w:pPr>
        <w:spacing w:after="0" w:before="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采用检查表法、头脑风暴与历史经验相结合的方式识别风险。重点识别技术风险（认证、并发、事务、隐私）、进度风险（关键路径延期）、需求风险（范围蔓延、未决事项）与外部依赖风险（环境、数据）。每项风险记录到风险登记册并指定责任人。</w:t>
      </w:r>
    </w:p>
    <w:p>
      <w:pPr>
        <w:pStyle w:val="Heading2"/>
        <w:spacing w:after="100" w:before="200" w:line="360" w:lineRule="auto"/>
        <w:jc w:val="left"/>
      </w:pPr>
      <w:bookmarkStart w:id="100033" w:name="_Toc100033"/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6.2 风险登记册</w:t>
      </w:r>
      <w:bookmarkEnd w:id="100033"/>
    </w:p>
    <w:p>
      <w:pPr>
        <w:keepNext/>
        <w:spacing w:after="60" w:before="120" w:line="300" w:lineRule="auto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表6-1 项目风险登记册</w:t>
      </w:r>
    </w:p>
    <w:tbl>
      <w:tblPr>
        <w:tblW w:type="pct" w:w="100%"/>
        <w:jc w:val="center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1F3864" w:sz="6"/>
          <w:insideV w:val="single" w:color="1F3864" w:sz="6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序号</w:t>
            </w:r>
          </w:p>
        </w:tc>
        <w:tc>
          <w:tcPr>
            <w:tcW w:type="pct" w:w="30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风险描述</w:t>
            </w:r>
          </w:p>
        </w:tc>
        <w:tc>
          <w:tcPr>
            <w:tcW w:type="pct" w:w="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概率</w:t>
            </w:r>
          </w:p>
        </w:tc>
        <w:tc>
          <w:tcPr>
            <w:tcW w:type="pct" w:w="8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影响</w:t>
            </w:r>
          </w:p>
        </w:tc>
        <w:tc>
          <w:tcPr>
            <w:tcW w:type="pct" w:w="10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风险等级</w:t>
            </w:r>
          </w:p>
        </w:tc>
        <w:tc>
          <w:tcPr>
            <w:tcW w:type="pct" w:w="26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风险响应计划</w:t>
            </w:r>
          </w:p>
        </w:tc>
        <w:tc>
          <w:tcPr>
            <w:tcW w:type="pct" w:w="12%"/>
            <w:shd w:fill="2F559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1"/>
                <w:szCs w:val="21"/>
              </w:rPr>
              <w:t xml:space="default">责任人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认证过滤器对格式错误的 Authorization 头降级为匿名访问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规避：进入登录后 H5 流程前修复并补测试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后端组长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预约并发导致时段超卖或重复提交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缓解：数据库约束/锁/原子更新 + 并发测试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后端组长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订单金额由前端计算或库存扣减非事务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低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规避：服务端算金额、事务扣库存并写测试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后端组长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公开接口泄露用户手机号或管理字段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规避：专门公开 DTO + 隐私测试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后端组长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范围蔓延（顺手实现支付/优惠券/AI）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缓解：未决事项入 docs/08，变更走流程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项目经理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H5 正式公开登录方式未决阻塞交付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缓解：已定手机号+密码+安全问题找回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项目经理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关键路径任务（订单/集成）延期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缓解：优先资源、按切片验收、提前联调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项目经理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演示/测试数据不可重复执行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低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缓解：可重复种子 SQL + 文档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后端组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AI 模块被误启用或直连数据库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低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规避：保持禁用，恢复时走受限工具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后端组长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环境/构建差异导致联调失败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缓解：统一环境与构建脚本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8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1"/>
                <w:szCs w:val="21"/>
              </w:rPr>
              <w:t xml:space="default">全员</w:t>
            </w:r>
          </w:p>
        </w:tc>
      </w:tr>
    </w:tbl>
    <w:p>
      <w:pPr>
        <w:spacing w:after="0" w:before="0" w:line="300" w:lineRule="auto"/>
      </w:pPr>
    </w:p>
    <w:p>
      <w:pPr>
        <w:spacing w:after="0" w:before="0" w:line="360" w:lineRule="auto"/>
        <w:ind w:firstLine="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说明：</w:t>
      </w: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概率与影响分为高/中/低；风险等级由二者综合判定。高等级风险须在相关切片进入前完成响应措施并附测试证据。</w:t>
      </w:r>
    </w:p>
    <w:sectPr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jc w:val="center"/>
      <w:outlineLvl w:val="0"/>
    </w:pPr>
    <w:rPr>
      <w:rFonts w:ascii="黑体" w:cs="黑体" w:eastAsia="黑体" w:hAnsi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 w:line="360" w:lineRule="auto"/>
      <w:outlineLvl w:val="1"/>
    </w:pPr>
    <w:rPr>
      <w:rFonts w:ascii="黑体" w:cs="黑体" w:eastAsia="黑体" w:hAnsi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 w:line="360" w:lineRule="auto"/>
      <w:outlineLvl w:val="2"/>
    </w:pPr>
    <w:rPr>
      <w:rFonts w:ascii="黑体" w:cs="黑体" w:eastAsia="黑体" w:hAnsi="黑体"/>
      <w:b/>
      <w:bCs/>
      <w:color w:val="00000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632fe55d429c756cc8e002bc4014a3d850db3fb.png"/><Relationship Id="rId10" Type="http://schemas.openxmlformats.org/officeDocument/2006/relationships/image" Target="media/bc12fdbc6747c769ff285b529f5d438d33adf704.png"/><Relationship Id="rId11" Type="http://schemas.openxmlformats.org/officeDocument/2006/relationships/image" Target="media/bb25affdb769664028b985b5361fff8f41abc45f.png"/><Relationship Id="rId12" Type="http://schemas.openxmlformats.org/officeDocument/2006/relationships/image" Target="media/ac1da37060499df95d02a366f4fcb51c4f981a48.png"/><Relationship Id="rId13" Type="http://schemas.openxmlformats.org/officeDocument/2006/relationships/image" Target="media/02428c8d8cc951f83b09070cbf986779800b2f6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PetCare O2O 项目管理计划文档</dc:title>
  <dc:creator>PetCare O2O</dc:creator>
  <cp:lastModifiedBy>Un-named</cp:lastModifiedBy>
  <cp:revision>1</cp:revision>
  <dcterms:created xsi:type="dcterms:W3CDTF">2026-06-17T02:58:44.817Z</dcterms:created>
  <dcterms:modified xsi:type="dcterms:W3CDTF">2026-06-17T02:58:44.818Z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