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A88E6C">
      <w:pPr>
        <w:spacing w:line="312" w:lineRule="auto"/>
      </w:pPr>
    </w:p>
    <w:p w14:paraId="4D1AABC6">
      <w:pPr>
        <w:spacing w:line="300" w:lineRule="auto"/>
        <w:ind w:firstLine="480"/>
        <w:jc w:val="center"/>
      </w:pPr>
    </w:p>
    <w:p w14:paraId="140F0E64">
      <w:pPr>
        <w:spacing w:line="300" w:lineRule="auto"/>
        <w:ind w:firstLine="480"/>
        <w:jc w:val="center"/>
      </w:pPr>
      <w:r>
        <w:rPr>
          <w:rFonts w:ascii="宋体" w:hAnsi="宋体" w:cs="Tahoma"/>
          <w:sz w:val="32"/>
          <w:szCs w:val="32"/>
        </w:rPr>
        <w:drawing>
          <wp:inline distT="0" distB="0" distL="114300" distR="114300">
            <wp:extent cx="4550410" cy="1047750"/>
            <wp:effectExtent l="0" t="0" r="6350" b="3810"/>
            <wp:docPr id="1" name="图片 1" descr="5700024ae9d8782a48f72b02d45a4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700024ae9d8782a48f72b02d45a42d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041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6E0E0">
      <w:pPr>
        <w:spacing w:line="300" w:lineRule="auto"/>
        <w:ind w:firstLine="960" w:firstLineChars="400"/>
      </w:pPr>
      <w:bookmarkStart w:id="0" w:name="OLE_LINK1"/>
    </w:p>
    <w:bookmarkEnd w:id="0"/>
    <w:p w14:paraId="100A0967">
      <w:pPr>
        <w:spacing w:after="312" w:afterLines="100" w:line="300" w:lineRule="auto"/>
        <w:ind w:firstLine="781" w:firstLineChars="150"/>
        <w:jc w:val="center"/>
        <w:rPr>
          <w:rFonts w:eastAsia="华文新魏"/>
          <w:b/>
          <w:bCs/>
          <w:sz w:val="52"/>
          <w:szCs w:val="52"/>
        </w:rPr>
      </w:pPr>
      <w:r>
        <w:rPr>
          <w:rFonts w:hint="eastAsia" w:eastAsia="华文新魏"/>
          <w:b/>
          <w:bCs/>
          <w:sz w:val="52"/>
          <w:szCs w:val="52"/>
        </w:rPr>
        <w:t xml:space="preserve"> </w:t>
      </w:r>
      <w:r>
        <w:rPr>
          <w:rFonts w:eastAsia="华文新魏"/>
          <w:b/>
          <w:bCs/>
          <w:sz w:val="52"/>
          <w:szCs w:val="52"/>
        </w:rPr>
        <w:t xml:space="preserve">   </w:t>
      </w:r>
      <w:r>
        <w:rPr>
          <w:rFonts w:hint="eastAsia" w:eastAsia="华文新魏"/>
          <w:b/>
          <w:bCs/>
          <w:sz w:val="52"/>
          <w:szCs w:val="52"/>
        </w:rPr>
        <w:t>工学院</w:t>
      </w:r>
    </w:p>
    <w:p w14:paraId="342C0211">
      <w:pPr>
        <w:spacing w:after="312" w:afterLines="100" w:line="300" w:lineRule="auto"/>
        <w:ind w:firstLine="198" w:firstLineChars="45"/>
        <w:rPr>
          <w:rFonts w:eastAsia="华文新魏"/>
          <w:sz w:val="44"/>
          <w:szCs w:val="44"/>
        </w:rPr>
      </w:pPr>
    </w:p>
    <w:p w14:paraId="4A2A01A9">
      <w:pPr>
        <w:pStyle w:val="10"/>
        <w:spacing w:before="240" w:after="240" w:line="360" w:lineRule="auto"/>
        <w:jc w:val="both"/>
        <w:rPr>
          <w:rFonts w:hint="default" w:eastAsiaTheme="minorEastAsia"/>
          <w:caps w:val="0"/>
          <w:sz w:val="36"/>
          <w:szCs w:val="36"/>
          <w:lang w:val="en-US" w:eastAsia="zh-CN"/>
        </w:rPr>
      </w:pPr>
      <w:r>
        <w:rPr>
          <w:rFonts w:hint="eastAsia"/>
          <w:caps w:val="0"/>
          <w:sz w:val="36"/>
          <w:szCs w:val="36"/>
        </w:rPr>
        <w:t>课程名称：</w:t>
      </w:r>
      <w:r>
        <w:rPr>
          <w:rFonts w:hint="eastAsia"/>
          <w:caps w:val="0"/>
          <w:sz w:val="36"/>
          <w:szCs w:val="36"/>
          <w:lang w:val="en-US" w:eastAsia="zh-CN"/>
        </w:rPr>
        <w:t>软件配置管理</w:t>
      </w:r>
    </w:p>
    <w:p w14:paraId="004DA295">
      <w:pPr>
        <w:pStyle w:val="10"/>
        <w:spacing w:before="240" w:after="240" w:line="360" w:lineRule="auto"/>
        <w:jc w:val="both"/>
        <w:rPr>
          <w:rFonts w:hint="eastAsia" w:eastAsia="宋体"/>
          <w:caps w:val="0"/>
          <w:sz w:val="36"/>
          <w:szCs w:val="36"/>
          <w:lang w:val="en-US" w:eastAsia="zh-CN"/>
        </w:rPr>
      </w:pPr>
      <w:r>
        <w:rPr>
          <w:rFonts w:hint="eastAsia" w:eastAsia="宋体"/>
          <w:caps w:val="0"/>
          <w:sz w:val="36"/>
          <w:szCs w:val="36"/>
        </w:rPr>
        <w:t>项目名称：</w:t>
      </w:r>
      <w:r>
        <w:rPr>
          <w:rFonts w:ascii="Times New Roman" w:eastAsia="宋体"/>
          <w:b/>
          <w:bCs/>
          <w:i w:val="0"/>
          <w:iCs w:val="0"/>
          <w:color w:val="000000"/>
          <w:sz w:val="30"/>
          <w:szCs w:val="30"/>
        </w:rPr>
        <w:t>PetCare O2O</w:t>
      </w:r>
    </w:p>
    <w:p w14:paraId="754FC386">
      <w:pPr>
        <w:spacing w:line="312" w:lineRule="auto"/>
      </w:pPr>
      <w:bookmarkStart w:id="17" w:name="_GoBack"/>
      <w:bookmarkEnd w:id="17"/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0"/>
        <w:gridCol w:w="868"/>
        <w:gridCol w:w="1405"/>
        <w:gridCol w:w="4447"/>
        <w:gridCol w:w="868"/>
      </w:tblGrid>
      <w:tr w14:paraId="019C1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7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CADCA6"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i w:val="0"/>
                <w:iCs w:val="0"/>
                <w:color w:val="000000"/>
                <w:sz w:val="24"/>
                <w:szCs w:val="24"/>
              </w:rPr>
              <w:t>学号</w:t>
            </w:r>
          </w:p>
        </w:tc>
        <w:tc>
          <w:tcPr>
            <w:tcW w:w="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9524B7"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i w:val="0"/>
                <w:iCs w:val="0"/>
                <w:color w:val="000000"/>
                <w:sz w:val="24"/>
                <w:szCs w:val="24"/>
              </w:rPr>
              <w:t>姓名</w:t>
            </w:r>
          </w:p>
        </w:tc>
        <w:tc>
          <w:tcPr>
            <w:tcW w:w="8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EDAA25"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i w:val="0"/>
                <w:iCs w:val="0"/>
                <w:color w:val="000000"/>
                <w:sz w:val="24"/>
                <w:szCs w:val="24"/>
              </w:rPr>
              <w:t>文档贡献度（均值为1）</w:t>
            </w:r>
          </w:p>
        </w:tc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2E813C"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i w:val="0"/>
                <w:iCs w:val="0"/>
                <w:color w:val="000000"/>
                <w:sz w:val="24"/>
                <w:szCs w:val="24"/>
              </w:rPr>
              <w:t>开发与持续集成工作</w:t>
            </w:r>
          </w:p>
        </w:tc>
        <w:tc>
          <w:tcPr>
            <w:tcW w:w="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E44249"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i w:val="0"/>
                <w:iCs w:val="0"/>
                <w:color w:val="000000"/>
                <w:sz w:val="24"/>
                <w:szCs w:val="24"/>
              </w:rPr>
              <w:t>课程成绩</w:t>
            </w:r>
          </w:p>
        </w:tc>
      </w:tr>
      <w:tr w14:paraId="28E71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CB1917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2320160033</w:t>
            </w:r>
          </w:p>
        </w:tc>
        <w:tc>
          <w:tcPr>
            <w:tcW w:w="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3A42A1"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i w:val="0"/>
                <w:iCs w:val="0"/>
                <w:color w:val="000000"/>
                <w:sz w:val="24"/>
                <w:szCs w:val="24"/>
              </w:rPr>
              <w:t>曾志洪</w:t>
            </w:r>
          </w:p>
        </w:tc>
        <w:tc>
          <w:tcPr>
            <w:tcW w:w="8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B1B00E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1.0</w:t>
            </w:r>
          </w:p>
        </w:tc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5DAE68">
            <w:pPr>
              <w:spacing w:line="30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独立完成全部配置管理与持续集成工作：版本库与分支管理、基线与变更管理、Jenkins 流水线编写与自动编译/测试/打包/部署/邮件通知</w:t>
            </w:r>
          </w:p>
        </w:tc>
        <w:tc>
          <w:tcPr>
            <w:tcW w:w="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411037">
            <w:pPr>
              <w:spacing w:line="300" w:lineRule="auto"/>
              <w:jc w:val="center"/>
            </w:pPr>
          </w:p>
        </w:tc>
      </w:tr>
    </w:tbl>
    <w:p w14:paraId="7DB66E77">
      <w:pPr>
        <w:spacing w:line="312" w:lineRule="auto"/>
      </w:pPr>
    </w:p>
    <w:p w14:paraId="38A4FAC4">
      <w:pPr>
        <w:spacing w:before="240"/>
        <w:jc w:val="right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2026 年 6 月 26 日</w:t>
      </w:r>
    </w:p>
    <w:p w14:paraId="5A9080BD">
      <w:pPr>
        <w:sectPr>
          <w:pgSz w:w="11906" w:h="16838"/>
          <w:pgMar w:top="1440" w:right="1417" w:bottom="1440" w:left="1701" w:header="708" w:footer="708" w:gutter="0"/>
          <w:cols w:space="720" w:num="1"/>
          <w:docGrid w:linePitch="360" w:charSpace="0"/>
        </w:sectPr>
      </w:pPr>
    </w:p>
    <w:p w14:paraId="287BA999">
      <w:pPr>
        <w:spacing w:before="0" w:after="200"/>
        <w:jc w:val="center"/>
      </w:pPr>
      <w:r>
        <w:rPr>
          <w:rFonts w:ascii="Times New Roman" w:eastAsia="宋体"/>
          <w:b/>
          <w:bCs/>
          <w:i w:val="0"/>
          <w:iCs w:val="0"/>
          <w:color w:val="000000"/>
          <w:sz w:val="32"/>
          <w:szCs w:val="32"/>
        </w:rPr>
        <w:t>目　录</w:t>
      </w:r>
    </w:p>
    <w:sdt>
      <w:sdtPr>
        <w:alias w:val="目录"/>
        <w:id w:val="147478619"/>
      </w:sdtPr>
      <w:sdtContent>
        <w:p w14:paraId="5D23394B">
          <w:r>
            <w:fldChar w:fldCharType="begin"/>
          </w:r>
          <w:r>
            <w:instrText xml:space="preserve">TOC \h \o "1-2" </w:instrText>
          </w:r>
          <w:r>
            <w:fldChar w:fldCharType="separate"/>
          </w:r>
        </w:p>
        <w:p w14:paraId="066A3651">
          <w:pPr>
            <w:pStyle w:val="10"/>
            <w:spacing w:before="120" w:after="60"/>
          </w:pPr>
          <w:r>
            <w:fldChar w:fldCharType="begin"/>
          </w:r>
          <w:r>
            <w:instrText xml:space="preserve"> HYPERLINK \l "_Toc100000" </w:instrText>
          </w:r>
          <w:r>
            <w:fldChar w:fldCharType="separate"/>
          </w:r>
          <w:r>
            <w:rPr>
              <w:rStyle w:val="17"/>
            </w:rPr>
            <w:t>1 课程设计目的</w:t>
          </w:r>
          <w:r>
            <w:tab/>
          </w:r>
          <w:r>
            <w:fldChar w:fldCharType="begin"/>
          </w:r>
          <w:r>
            <w:instrText xml:space="preserve"> PAGEREF _Toc100000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4DF3FB7">
          <w:pPr>
            <w:pStyle w:val="10"/>
            <w:spacing w:before="120" w:after="60"/>
          </w:pPr>
          <w:r>
            <w:fldChar w:fldCharType="begin"/>
          </w:r>
          <w:r>
            <w:instrText xml:space="preserve"> HYPERLINK \l "_Toc100001" </w:instrText>
          </w:r>
          <w:r>
            <w:fldChar w:fldCharType="separate"/>
          </w:r>
          <w:r>
            <w:rPr>
              <w:rStyle w:val="17"/>
            </w:rPr>
            <w:t>2 项目基本信息</w:t>
          </w:r>
          <w:r>
            <w:tab/>
          </w:r>
          <w:r>
            <w:fldChar w:fldCharType="begin"/>
          </w:r>
          <w:r>
            <w:instrText xml:space="preserve"> PAGEREF _Toc100001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89020FE">
          <w:pPr>
            <w:pStyle w:val="10"/>
            <w:spacing w:before="120" w:after="60"/>
          </w:pPr>
          <w:r>
            <w:fldChar w:fldCharType="begin"/>
          </w:r>
          <w:r>
            <w:instrText xml:space="preserve"> HYPERLINK \l "_Toc100002" </w:instrText>
          </w:r>
          <w:r>
            <w:fldChar w:fldCharType="separate"/>
          </w:r>
          <w:r>
            <w:rPr>
              <w:rStyle w:val="17"/>
            </w:rPr>
            <w:t>3 git 开发功能完成及日志情况（15分）</w:t>
          </w:r>
          <w:r>
            <w:tab/>
          </w:r>
          <w:r>
            <w:fldChar w:fldCharType="begin"/>
          </w:r>
          <w:r>
            <w:instrText xml:space="preserve"> PAGEREF _Toc100002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AAACEC6">
          <w:pPr>
            <w:pStyle w:val="10"/>
            <w:spacing w:before="120" w:after="60"/>
          </w:pPr>
          <w:r>
            <w:fldChar w:fldCharType="begin"/>
          </w:r>
          <w:r>
            <w:instrText xml:space="preserve"> HYPERLINK \l "_Toc100003" </w:instrText>
          </w:r>
          <w:r>
            <w:fldChar w:fldCharType="separate"/>
          </w:r>
          <w:r>
            <w:rPr>
              <w:rStyle w:val="17"/>
            </w:rPr>
            <w:t>4 配置管理计划落实情况（15分）</w:t>
          </w:r>
          <w:r>
            <w:tab/>
          </w:r>
          <w:r>
            <w:fldChar w:fldCharType="begin"/>
          </w:r>
          <w:r>
            <w:instrText xml:space="preserve"> PAGEREF _Toc100003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DE5CB8C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"_Toc100004" </w:instrText>
          </w:r>
          <w:r>
            <w:fldChar w:fldCharType="separate"/>
          </w:r>
          <w:r>
            <w:rPr>
              <w:rStyle w:val="17"/>
            </w:rPr>
            <w:t>4.1 版本库管理工作及证据</w:t>
          </w:r>
          <w:r>
            <w:tab/>
          </w:r>
          <w:r>
            <w:fldChar w:fldCharType="begin"/>
          </w:r>
          <w:r>
            <w:instrText xml:space="preserve"> PAGEREF _Toc100004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ACE92AA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"_Toc100005" </w:instrText>
          </w:r>
          <w:r>
            <w:fldChar w:fldCharType="separate"/>
          </w:r>
          <w:r>
            <w:rPr>
              <w:rStyle w:val="17"/>
            </w:rPr>
            <w:t>4.2 文档管理工作及证据</w:t>
          </w:r>
          <w:r>
            <w:tab/>
          </w:r>
          <w:r>
            <w:fldChar w:fldCharType="begin"/>
          </w:r>
          <w:r>
            <w:instrText xml:space="preserve"> PAGEREF _Toc100005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3F5B824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"_Toc100006" </w:instrText>
          </w:r>
          <w:r>
            <w:fldChar w:fldCharType="separate"/>
          </w:r>
          <w:r>
            <w:rPr>
              <w:rStyle w:val="17"/>
            </w:rPr>
            <w:t>4.3 分支管理工作及证据</w:t>
          </w:r>
          <w:r>
            <w:tab/>
          </w:r>
          <w:r>
            <w:fldChar w:fldCharType="begin"/>
          </w:r>
          <w:r>
            <w:instrText xml:space="preserve"> PAGEREF _Toc100006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C8A2FB7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"_Toc100007" </w:instrText>
          </w:r>
          <w:r>
            <w:fldChar w:fldCharType="separate"/>
          </w:r>
          <w:r>
            <w:rPr>
              <w:rStyle w:val="17"/>
            </w:rPr>
            <w:t>4.4 基线管理工作及证据</w:t>
          </w:r>
          <w:r>
            <w:tab/>
          </w:r>
          <w:r>
            <w:fldChar w:fldCharType="begin"/>
          </w:r>
          <w:r>
            <w:instrText xml:space="preserve"> PAGEREF _Toc100007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7AB07CF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"_Toc100008" </w:instrText>
          </w:r>
          <w:r>
            <w:fldChar w:fldCharType="separate"/>
          </w:r>
          <w:r>
            <w:rPr>
              <w:rStyle w:val="17"/>
            </w:rPr>
            <w:t>4.5 变更管理工作及证据</w:t>
          </w:r>
          <w:r>
            <w:tab/>
          </w:r>
          <w:r>
            <w:fldChar w:fldCharType="begin"/>
          </w:r>
          <w:r>
            <w:instrText xml:space="preserve"> PAGEREF _Toc100008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9C22416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"_Toc100009" </w:instrText>
          </w:r>
          <w:r>
            <w:fldChar w:fldCharType="separate"/>
          </w:r>
          <w:r>
            <w:rPr>
              <w:rStyle w:val="17"/>
            </w:rPr>
            <w:t>4.6 版本管理工作及证据</w:t>
          </w:r>
          <w:r>
            <w:tab/>
          </w:r>
          <w:r>
            <w:fldChar w:fldCharType="begin"/>
          </w:r>
          <w:r>
            <w:instrText xml:space="preserve"> PAGEREF _Toc100009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7EE6BD9">
          <w:pPr>
            <w:pStyle w:val="10"/>
            <w:spacing w:before="120" w:after="60"/>
          </w:pPr>
          <w:r>
            <w:fldChar w:fldCharType="begin"/>
          </w:r>
          <w:r>
            <w:instrText xml:space="preserve"> HYPERLINK \l "_Toc100010" </w:instrText>
          </w:r>
          <w:r>
            <w:fldChar w:fldCharType="separate"/>
          </w:r>
          <w:r>
            <w:rPr>
              <w:rStyle w:val="17"/>
            </w:rPr>
            <w:t>5 持续集成完成情况（30分）</w:t>
          </w:r>
          <w:r>
            <w:tab/>
          </w:r>
          <w:r>
            <w:fldChar w:fldCharType="begin"/>
          </w:r>
          <w:r>
            <w:instrText xml:space="preserve"> PAGEREF _Toc100010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DA6E858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"_Toc100011" </w:instrText>
          </w:r>
          <w:r>
            <w:fldChar w:fldCharType="separate"/>
          </w:r>
          <w:r>
            <w:rPr>
              <w:rStyle w:val="17"/>
            </w:rPr>
            <w:t>5.1 亮点、创新点</w:t>
          </w:r>
          <w:r>
            <w:tab/>
          </w:r>
          <w:r>
            <w:fldChar w:fldCharType="begin"/>
          </w:r>
          <w:r>
            <w:instrText xml:space="preserve"> PAGEREF _Toc100011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00BC45C9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"_Toc100012" </w:instrText>
          </w:r>
          <w:r>
            <w:fldChar w:fldCharType="separate"/>
          </w:r>
          <w:r>
            <w:rPr>
              <w:rStyle w:val="17"/>
            </w:rPr>
            <w:t>5.2 不足</w:t>
          </w:r>
          <w:r>
            <w:tab/>
          </w:r>
          <w:r>
            <w:fldChar w:fldCharType="begin"/>
          </w:r>
          <w:r>
            <w:instrText xml:space="preserve"> PAGEREF _Toc100012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77AA3858">
          <w:pPr>
            <w:pStyle w:val="10"/>
            <w:spacing w:before="120" w:after="60"/>
          </w:pPr>
          <w:r>
            <w:fldChar w:fldCharType="begin"/>
          </w:r>
          <w:r>
            <w:instrText xml:space="preserve"> HYPERLINK \l "_Toc100013" </w:instrText>
          </w:r>
          <w:r>
            <w:fldChar w:fldCharType="separate"/>
          </w:r>
          <w:r>
            <w:rPr>
              <w:rStyle w:val="17"/>
            </w:rPr>
            <w:t>6 总结</w:t>
          </w:r>
          <w:r>
            <w:tab/>
          </w:r>
          <w:r>
            <w:fldChar w:fldCharType="begin"/>
          </w:r>
          <w:r>
            <w:instrText xml:space="preserve"> PAGEREF _Toc100013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0472B1A7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"_Toc100014" </w:instrText>
          </w:r>
          <w:r>
            <w:fldChar w:fldCharType="separate"/>
          </w:r>
          <w:r>
            <w:rPr>
              <w:rStyle w:val="17"/>
            </w:rPr>
            <w:t>6.1 曾志洪 总结：</w:t>
          </w:r>
          <w:r>
            <w:tab/>
          </w:r>
          <w:r>
            <w:fldChar w:fldCharType="begin"/>
          </w:r>
          <w:r>
            <w:instrText xml:space="preserve"> PAGEREF _Toc100014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094DF234">
          <w:pPr>
            <w:pStyle w:val="10"/>
            <w:spacing w:before="120" w:after="60"/>
          </w:pPr>
          <w:r>
            <w:fldChar w:fldCharType="begin"/>
          </w:r>
          <w:r>
            <w:instrText xml:space="preserve"> HYPERLINK \l "_Toc100015" </w:instrText>
          </w:r>
          <w:r>
            <w:fldChar w:fldCharType="separate"/>
          </w:r>
          <w:r>
            <w:rPr>
              <w:rStyle w:val="17"/>
            </w:rPr>
            <w:t>参考文献</w:t>
          </w:r>
          <w:r>
            <w:tab/>
          </w:r>
          <w:r>
            <w:fldChar w:fldCharType="begin"/>
          </w:r>
          <w:r>
            <w:instrText xml:space="preserve"> PAGEREF _Toc100015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177125CD">
          <w:r>
            <w:fldChar w:fldCharType="end"/>
          </w:r>
        </w:p>
      </w:sdtContent>
    </w:sdt>
    <w:p w14:paraId="44CD9FB7">
      <w:pPr>
        <w:spacing w:before="120"/>
        <w:jc w:val="center"/>
      </w:pPr>
      <w:r>
        <w:rPr>
          <w:rFonts w:ascii="Times New Roman" w:eastAsia="宋体"/>
          <w:b w:val="0"/>
          <w:bCs w:val="0"/>
          <w:i/>
          <w:iCs/>
          <w:color w:val="808080"/>
          <w:sz w:val="20"/>
          <w:szCs w:val="20"/>
        </w:rPr>
        <w:t>（右键目录 → “更新域” 可刷新页码）</w:t>
      </w:r>
    </w:p>
    <w:p w14:paraId="43B60389">
      <w:pPr>
        <w:sectPr>
          <w:footerReference r:id="rId3" w:type="default"/>
          <w:pgSz w:w="11906" w:h="16838"/>
          <w:pgMar w:top="1440" w:right="1417" w:bottom="1440" w:left="1701" w:header="708" w:footer="708" w:gutter="0"/>
          <w:pgNumType w:fmt="upperRoman" w:start="1"/>
          <w:cols w:space="720" w:num="1"/>
          <w:docGrid w:linePitch="360" w:charSpace="0"/>
        </w:sectPr>
      </w:pPr>
    </w:p>
    <w:p w14:paraId="4E3FF9F4">
      <w:pPr>
        <w:pStyle w:val="2"/>
        <w:spacing w:before="360" w:after="200" w:line="400" w:lineRule="auto"/>
      </w:pPr>
      <w:bookmarkStart w:id="1" w:name="_Toc100000"/>
      <w:r>
        <w:rPr>
          <w:rFonts w:ascii="Times New Roman" w:eastAsia="宋体"/>
          <w:b/>
          <w:bCs/>
          <w:i w:val="0"/>
          <w:iCs w:val="0"/>
          <w:color w:val="000000"/>
          <w:sz w:val="32"/>
          <w:szCs w:val="32"/>
        </w:rPr>
        <w:t>1 课程设计目的</w:t>
      </w:r>
      <w:bookmarkEnd w:id="1"/>
    </w:p>
    <w:p w14:paraId="61D058E8">
      <w:pPr>
        <w:spacing w:after="60" w:line="360" w:lineRule="auto"/>
        <w:ind w:firstLine="480"/>
        <w:jc w:val="both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本课程设计以 PetCare O2O（面向单体宠物门店的 O2O 服务/商品/社区平台）项目为载体，通过完整的软件配置管理（SCM）实践，达到以下目的：</w:t>
      </w:r>
    </w:p>
    <w:p w14:paraId="6999C755">
      <w:pPr>
        <w:spacing w:after="40" w:line="360" w:lineRule="auto"/>
        <w:ind w:firstLine="480"/>
        <w:jc w:val="both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1. 掌握配置库的管理和维护。</w:t>
      </w:r>
    </w:p>
    <w:p w14:paraId="2C2ED975">
      <w:pPr>
        <w:spacing w:after="40" w:line="360" w:lineRule="auto"/>
        <w:ind w:firstLine="480"/>
        <w:jc w:val="both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2. 能够管理和配置持续集成环境。</w:t>
      </w:r>
    </w:p>
    <w:p w14:paraId="1D967486">
      <w:pPr>
        <w:spacing w:after="40" w:line="360" w:lineRule="auto"/>
        <w:ind w:firstLine="480"/>
        <w:jc w:val="both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3. 熟练使用版本配置管理工具（Git）和持续集成工具（Jenkins）。</w:t>
      </w:r>
    </w:p>
    <w:p w14:paraId="213C172F">
      <w:pPr>
        <w:spacing w:after="40" w:line="360" w:lineRule="auto"/>
        <w:ind w:firstLine="480"/>
        <w:jc w:val="both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4. 能够进行文档管理。能够在版本库上创建要求的目录结构，提交相关文档到指定目录下。</w:t>
      </w:r>
    </w:p>
    <w:p w14:paraId="3D0EC84A">
      <w:pPr>
        <w:spacing w:after="40" w:line="360" w:lineRule="auto"/>
        <w:ind w:firstLine="480"/>
        <w:jc w:val="both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5. 能够进行分支管理。了解分支策略，并能创建分支和合并分支。</w:t>
      </w:r>
    </w:p>
    <w:p w14:paraId="05009FE8">
      <w:pPr>
        <w:spacing w:after="40" w:line="360" w:lineRule="auto"/>
        <w:ind w:firstLine="480"/>
        <w:jc w:val="both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6. 了解基线管理。</w:t>
      </w:r>
    </w:p>
    <w:p w14:paraId="011B04EA">
      <w:pPr>
        <w:spacing w:after="40" w:line="360" w:lineRule="auto"/>
        <w:ind w:firstLine="480"/>
        <w:jc w:val="both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7. 掌握变更管理。基线修改时需要提交变更申请单，审批通过后方能进行变更。</w:t>
      </w:r>
    </w:p>
    <w:p w14:paraId="6E0F3690">
      <w:pPr>
        <w:spacing w:after="40" w:line="360" w:lineRule="auto"/>
        <w:ind w:firstLine="480"/>
        <w:jc w:val="both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8. 能够根据项目情况编制配置管理计划。</w:t>
      </w:r>
    </w:p>
    <w:p w14:paraId="7ADE227B">
      <w:pPr>
        <w:pStyle w:val="2"/>
        <w:spacing w:before="360" w:after="200" w:line="400" w:lineRule="auto"/>
      </w:pPr>
      <w:bookmarkStart w:id="2" w:name="_Toc100001"/>
      <w:r>
        <w:rPr>
          <w:rFonts w:ascii="Times New Roman" w:eastAsia="宋体"/>
          <w:b/>
          <w:bCs/>
          <w:i w:val="0"/>
          <w:iCs w:val="0"/>
          <w:color w:val="000000"/>
          <w:sz w:val="32"/>
          <w:szCs w:val="32"/>
        </w:rPr>
        <w:t>2 项目基本信息</w:t>
      </w:r>
      <w:bookmarkEnd w:id="2"/>
    </w:p>
    <w:p w14:paraId="212A4DE4">
      <w:pPr>
        <w:spacing w:after="60" w:line="360" w:lineRule="auto"/>
        <w:ind w:firstLine="0"/>
        <w:jc w:val="both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1）小组项目名称：PetCare O2O（面向单体宠物门店的 O2O 服务/商品/社区平台）。</w:t>
      </w:r>
    </w:p>
    <w:p w14:paraId="208BDFFE">
      <w:pPr>
        <w:spacing w:after="60" w:line="360" w:lineRule="auto"/>
        <w:ind w:firstLine="0"/>
        <w:jc w:val="both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2）GitHub 路径：https://github.com/zengmo20224/petcare-o2o</w:t>
      </w:r>
    </w:p>
    <w:p w14:paraId="60CE2EA3">
      <w:pPr>
        <w:spacing w:after="60" w:line="360" w:lineRule="auto"/>
        <w:ind w:firstLine="0"/>
        <w:jc w:val="both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3）Git 代码贡献排名截图：</w:t>
      </w:r>
    </w:p>
    <w:p w14:paraId="20A32D3B">
      <w:pPr>
        <w:spacing w:after="60" w:line="360" w:lineRule="auto"/>
        <w:ind w:firstLine="480"/>
        <w:jc w:val="both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本项目为单人课程作业，全部 179 次提交均由曾志洪（账号 2727649zeng）独立完成，贡献排名第一。下图为 git shortlog 贡献者统计截图。</w:t>
      </w:r>
      <w:r>
        <w:drawing>
          <wp:inline distT="0" distB="0" distL="114300" distR="114300">
            <wp:extent cx="5574665" cy="2960370"/>
            <wp:effectExtent l="0" t="0" r="3175" b="11430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4665" cy="296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D2D6A">
      <w:pPr>
        <w:spacing w:before="100" w:after="40" w:line="240" w:lineRule="auto"/>
        <w:jc w:val="center"/>
      </w:pPr>
    </w:p>
    <w:p w14:paraId="317F5831">
      <w:pPr>
        <w:spacing w:before="0" w:after="200" w:line="280" w:lineRule="auto"/>
        <w:jc w:val="center"/>
      </w:pPr>
      <w:r>
        <w:rPr>
          <w:rFonts w:ascii="Times New Roman" w:eastAsia="宋体"/>
          <w:b w:val="0"/>
          <w:bCs w:val="0"/>
          <w:i w:val="0"/>
          <w:iCs w:val="0"/>
          <w:color w:val="595959"/>
          <w:sz w:val="21"/>
          <w:szCs w:val="21"/>
        </w:rPr>
        <w:t>图2-1  Git 提交日志与贡献者统计（179 次提交，全部遵循 Conventional Commits）</w:t>
      </w:r>
    </w:p>
    <w:p w14:paraId="6D000D12">
      <w:pPr>
        <w:pStyle w:val="2"/>
        <w:spacing w:before="360" w:after="200" w:line="400" w:lineRule="auto"/>
      </w:pPr>
      <w:bookmarkStart w:id="3" w:name="_Toc100002"/>
      <w:r>
        <w:rPr>
          <w:rFonts w:ascii="Times New Roman" w:eastAsia="宋体"/>
          <w:b/>
          <w:bCs/>
          <w:i w:val="0"/>
          <w:iCs w:val="0"/>
          <w:color w:val="000000"/>
          <w:sz w:val="32"/>
          <w:szCs w:val="32"/>
        </w:rPr>
        <w:t>3 git 开发功能完成及日志情况（15分）</w:t>
      </w:r>
      <w:bookmarkEnd w:id="3"/>
    </w:p>
    <w:p w14:paraId="48BC0D38">
      <w:pPr>
        <w:spacing w:after="60" w:line="360" w:lineRule="auto"/>
        <w:ind w:firstLine="480"/>
        <w:jc w:val="both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曾志洪：独立完成项目全部功能开发。PetCare O2O 覆盖宠物服务预约、商品零售、社区互动、营销活动四大业务域，包含后端 API、管理端 PC Web、用户端 H5 三端，产品基线 v1.0.0-rc1 已建立，843 个测试全部通过。</w:t>
      </w:r>
    </w:p>
    <w:p w14:paraId="76D19548">
      <w:pPr>
        <w:spacing w:after="60" w:line="360" w:lineRule="auto"/>
        <w:ind w:firstLine="0"/>
        <w:jc w:val="both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主要开发功能界面与日志截图如下：</w:t>
      </w:r>
    </w:p>
    <w:p w14:paraId="5948F6AA">
      <w:pPr>
        <w:spacing w:after="60" w:line="360" w:lineRule="auto"/>
        <w:ind w:firstLine="0"/>
        <w:jc w:val="both"/>
      </w:pPr>
      <w:r>
        <w:rPr>
          <w:rFonts w:ascii="Times New Roman" w:eastAsia="宋体"/>
          <w:b/>
          <w:bCs/>
          <w:i w:val="0"/>
          <w:iCs w:val="0"/>
          <w:color w:val="000000"/>
          <w:sz w:val="24"/>
          <w:szCs w:val="24"/>
        </w:rPr>
        <w:t>（1）用户端 H5 功能界面：</w:t>
      </w:r>
    </w:p>
    <w:p w14:paraId="4E779908">
      <w:pPr>
        <w:spacing w:before="100" w:after="40" w:line="240" w:lineRule="auto"/>
        <w:jc w:val="center"/>
      </w:pPr>
      <w:r>
        <w:drawing>
          <wp:inline distT="0" distB="0" distL="0" distR="0">
            <wp:extent cx="3105150" cy="67246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672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0A7F2">
      <w:pPr>
        <w:spacing w:before="0" w:after="200" w:line="280" w:lineRule="auto"/>
        <w:jc w:val="center"/>
      </w:pPr>
      <w:r>
        <w:rPr>
          <w:rFonts w:ascii="Times New Roman" w:eastAsia="宋体"/>
          <w:b w:val="0"/>
          <w:bCs w:val="0"/>
          <w:i w:val="0"/>
          <w:iCs w:val="0"/>
          <w:color w:val="595959"/>
          <w:sz w:val="21"/>
          <w:szCs w:val="21"/>
        </w:rPr>
        <w:t>图3-1  用户端 H5 首页（服务预约、商品、社区、营销活动）</w:t>
      </w:r>
    </w:p>
    <w:p w14:paraId="5F0D1C16">
      <w:pPr>
        <w:spacing w:after="60" w:line="360" w:lineRule="auto"/>
        <w:ind w:firstLine="0"/>
        <w:jc w:val="both"/>
      </w:pPr>
      <w:r>
        <w:rPr>
          <w:rFonts w:ascii="Times New Roman" w:eastAsia="宋体"/>
          <w:b/>
          <w:bCs/>
          <w:i w:val="0"/>
          <w:iCs w:val="0"/>
          <w:color w:val="000000"/>
          <w:sz w:val="24"/>
          <w:szCs w:val="24"/>
        </w:rPr>
        <w:t>（2）管理端后台功能界面：</w:t>
      </w:r>
    </w:p>
    <w:p w14:paraId="3E49238B">
      <w:pPr>
        <w:spacing w:before="100" w:after="40" w:line="240" w:lineRule="auto"/>
        <w:jc w:val="center"/>
      </w:pPr>
      <w:r>
        <w:drawing>
          <wp:inline distT="0" distB="0" distL="0" distR="0">
            <wp:extent cx="5581650" cy="34861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94839">
      <w:pPr>
        <w:spacing w:before="0" w:after="200" w:line="280" w:lineRule="auto"/>
        <w:jc w:val="center"/>
      </w:pPr>
      <w:r>
        <w:rPr>
          <w:rFonts w:ascii="Times New Roman" w:eastAsia="宋体"/>
          <w:b w:val="0"/>
          <w:bCs w:val="0"/>
          <w:i w:val="0"/>
          <w:iCs w:val="0"/>
          <w:color w:val="595959"/>
          <w:sz w:val="21"/>
          <w:szCs w:val="21"/>
        </w:rPr>
        <w:t>图3-2  管理端登录后的运营总览主界面（预约/订单/商品/社区管理）</w:t>
      </w:r>
    </w:p>
    <w:p w14:paraId="204B9AEE">
      <w:pPr>
        <w:spacing w:after="60" w:line="360" w:lineRule="auto"/>
        <w:ind w:firstLine="0"/>
        <w:jc w:val="both"/>
      </w:pPr>
      <w:r>
        <w:rPr>
          <w:rFonts w:ascii="Times New Roman" w:eastAsia="宋体"/>
          <w:b/>
          <w:bCs/>
          <w:i w:val="0"/>
          <w:iCs w:val="0"/>
          <w:color w:val="000000"/>
          <w:sz w:val="24"/>
          <w:szCs w:val="24"/>
        </w:rPr>
        <w:t>（3）Git 开发日志截图：</w:t>
      </w:r>
    </w:p>
    <w:p w14:paraId="3845E441">
      <w:pPr>
        <w:spacing w:before="100" w:after="40" w:line="240" w:lineRule="auto"/>
        <w:jc w:val="center"/>
      </w:pPr>
      <w:r>
        <w:drawing>
          <wp:inline distT="0" distB="0" distL="114300" distR="114300">
            <wp:extent cx="5574665" cy="2945765"/>
            <wp:effectExtent l="0" t="0" r="3175" b="10795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4665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47DD4">
      <w:pPr>
        <w:spacing w:before="0" w:after="200" w:line="280" w:lineRule="auto"/>
        <w:jc w:val="center"/>
      </w:pPr>
      <w:r>
        <w:rPr>
          <w:rFonts w:ascii="Times New Roman" w:eastAsia="宋体"/>
          <w:b w:val="0"/>
          <w:bCs w:val="0"/>
          <w:i w:val="0"/>
          <w:iCs w:val="0"/>
          <w:color w:val="595959"/>
          <w:sz w:val="21"/>
          <w:szCs w:val="21"/>
        </w:rPr>
        <w:t>图3-3  git log 提交日志（遵循 Conventional Commits：feat/fix/docs/ci/build 等 type）</w:t>
      </w:r>
    </w:p>
    <w:p w14:paraId="7EB81737">
      <w:pPr>
        <w:pStyle w:val="2"/>
        <w:spacing w:before="360" w:after="200" w:line="400" w:lineRule="auto"/>
      </w:pPr>
      <w:bookmarkStart w:id="4" w:name="_Toc100003"/>
      <w:r>
        <w:rPr>
          <w:rFonts w:ascii="Times New Roman" w:eastAsia="宋体"/>
          <w:b/>
          <w:bCs/>
          <w:i w:val="0"/>
          <w:iCs w:val="0"/>
          <w:color w:val="000000"/>
          <w:sz w:val="32"/>
          <w:szCs w:val="32"/>
        </w:rPr>
        <w:t>4 配置管理计划落实情况（15分）</w:t>
      </w:r>
      <w:bookmarkEnd w:id="4"/>
    </w:p>
    <w:p w14:paraId="49E735FF">
      <w:pPr>
        <w:spacing w:after="60" w:line="360" w:lineRule="auto"/>
        <w:ind w:firstLine="480"/>
        <w:jc w:val="both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本小组（单人）分别在版本库、持续集成、文档管理、分支管理、基线管理、变更管理完成了相应工作，并提供版本库的标签、日志等相关截图，证明项目是按照配置管理计划完成的。默认贡献均等。</w:t>
      </w:r>
    </w:p>
    <w:p w14:paraId="0115EAFE">
      <w:pPr>
        <w:pStyle w:val="3"/>
        <w:spacing w:before="280" w:after="140" w:line="360" w:lineRule="auto"/>
      </w:pPr>
      <w:bookmarkStart w:id="5" w:name="_Toc100004"/>
      <w:r>
        <w:rPr>
          <w:rFonts w:ascii="Times New Roman" w:eastAsia="宋体"/>
          <w:b/>
          <w:bCs/>
          <w:i w:val="0"/>
          <w:iCs w:val="0"/>
          <w:color w:val="000000"/>
          <w:sz w:val="28"/>
          <w:szCs w:val="28"/>
        </w:rPr>
        <w:t>4.1 版本库管理工作及证据</w:t>
      </w:r>
      <w:bookmarkEnd w:id="5"/>
    </w:p>
    <w:p w14:paraId="0F670559">
      <w:pPr>
        <w:spacing w:after="60" w:line="360" w:lineRule="auto"/>
        <w:ind w:firstLine="480"/>
        <w:jc w:val="both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版本库目录结构与配置管理计划一致，工具与配置管理计划一致。采用 Git + GitHub 作为版本控制工具，仓库目录包含 src、frontend、docs、nginx、.github 等，与 CMP §4.2 规划的配置库目录结构完全一致。</w:t>
      </w:r>
    </w:p>
    <w:p w14:paraId="1139C87A">
      <w:pPr>
        <w:spacing w:before="100" w:after="40" w:line="240" w:lineRule="auto"/>
        <w:jc w:val="center"/>
      </w:pPr>
      <w:r>
        <w:drawing>
          <wp:inline distT="0" distB="0" distL="114300" distR="114300">
            <wp:extent cx="5575300" cy="2491105"/>
            <wp:effectExtent l="0" t="0" r="2540" b="8255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249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A6461">
      <w:pPr>
        <w:spacing w:before="0" w:after="200" w:line="280" w:lineRule="auto"/>
        <w:jc w:val="center"/>
      </w:pPr>
      <w:r>
        <w:rPr>
          <w:rFonts w:ascii="Times New Roman" w:eastAsia="宋体"/>
          <w:b w:val="0"/>
          <w:bCs w:val="0"/>
          <w:i w:val="0"/>
          <w:iCs w:val="0"/>
          <w:color w:val="595959"/>
          <w:sz w:val="21"/>
          <w:szCs w:val="21"/>
        </w:rPr>
        <w:t>图4-1  版本库分支模型（git branch -a，main/develop/phase-* 分支齐全）</w:t>
      </w:r>
    </w:p>
    <w:p w14:paraId="63B96B34">
      <w:pPr>
        <w:pStyle w:val="3"/>
        <w:spacing w:before="280" w:after="140" w:line="360" w:lineRule="auto"/>
      </w:pPr>
      <w:bookmarkStart w:id="6" w:name="_Toc100005"/>
      <w:r>
        <w:rPr>
          <w:rFonts w:ascii="Times New Roman" w:eastAsia="宋体"/>
          <w:b/>
          <w:bCs/>
          <w:i w:val="0"/>
          <w:iCs w:val="0"/>
          <w:color w:val="000000"/>
          <w:sz w:val="28"/>
          <w:szCs w:val="28"/>
        </w:rPr>
        <w:t>4.2 文档管理工作及证据</w:t>
      </w:r>
      <w:bookmarkEnd w:id="6"/>
    </w:p>
    <w:p w14:paraId="3616E5D3">
      <w:pPr>
        <w:spacing w:after="60" w:line="360" w:lineRule="auto"/>
        <w:ind w:firstLine="480"/>
        <w:jc w:val="both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项目重要文档纳入配置管理，存储在配置库 docs/ 目录下。包括需求规格、项目边界、架构设计、配置管理计划、代码规范、测试验证、构建指导书、部署指南、配置项登记表、基线清单、变更实例等共 20 余份文档，均提交到 docs/ 指定目录。</w:t>
      </w:r>
    </w:p>
    <w:p w14:paraId="782D1C42">
      <w:pPr>
        <w:spacing w:after="60" w:line="360" w:lineRule="auto"/>
        <w:ind w:firstLine="0"/>
        <w:jc w:val="both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主要文档清单如下：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63"/>
        <w:gridCol w:w="4295"/>
        <w:gridCol w:w="1790"/>
      </w:tblGrid>
      <w:tr w14:paraId="7B35B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6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B8900E"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i w:val="0"/>
                <w:iCs w:val="0"/>
                <w:color w:val="000000"/>
                <w:sz w:val="24"/>
                <w:szCs w:val="24"/>
              </w:rPr>
              <w:t>文档名称</w:t>
            </w:r>
          </w:p>
        </w:tc>
        <w:tc>
          <w:tcPr>
            <w:tcW w:w="24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9397F4"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i w:val="0"/>
                <w:iCs w:val="0"/>
                <w:color w:val="000000"/>
                <w:sz w:val="24"/>
                <w:szCs w:val="24"/>
              </w:rPr>
              <w:t>路径</w:t>
            </w:r>
          </w:p>
        </w:tc>
        <w:tc>
          <w:tcPr>
            <w:tcW w:w="1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AF7567"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i w:val="0"/>
                <w:iCs w:val="0"/>
                <w:color w:val="000000"/>
                <w:sz w:val="24"/>
                <w:szCs w:val="24"/>
              </w:rPr>
              <w:t>版本</w:t>
            </w:r>
          </w:p>
        </w:tc>
      </w:tr>
      <w:tr w14:paraId="508D8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C3BABB">
            <w:pPr>
              <w:spacing w:line="30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需求规格说明书</w:t>
            </w:r>
          </w:p>
        </w:tc>
        <w:tc>
          <w:tcPr>
            <w:tcW w:w="24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61F63E">
            <w:pPr>
              <w:spacing w:line="30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docs/requirements-source.md</w:t>
            </w:r>
          </w:p>
        </w:tc>
        <w:tc>
          <w:tcPr>
            <w:tcW w:w="1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C9603D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V1.0</w:t>
            </w:r>
          </w:p>
        </w:tc>
      </w:tr>
      <w:tr w14:paraId="66965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1A2EC8">
            <w:pPr>
              <w:spacing w:line="30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项目边界</w:t>
            </w:r>
          </w:p>
        </w:tc>
        <w:tc>
          <w:tcPr>
            <w:tcW w:w="24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A8F9F4">
            <w:pPr>
              <w:spacing w:line="30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docs/00-project-boundary.md</w:t>
            </w:r>
          </w:p>
        </w:tc>
        <w:tc>
          <w:tcPr>
            <w:tcW w:w="1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7C4DC7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V1.0</w:t>
            </w:r>
          </w:p>
        </w:tc>
      </w:tr>
      <w:tr w14:paraId="178D9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ECE79B">
            <w:pPr>
              <w:spacing w:line="30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配置管理计划</w:t>
            </w:r>
          </w:p>
        </w:tc>
        <w:tc>
          <w:tcPr>
            <w:tcW w:w="24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A13D63">
            <w:pPr>
              <w:spacing w:line="30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docs/03-configuration-management-plan.md</w:t>
            </w:r>
          </w:p>
        </w:tc>
        <w:tc>
          <w:tcPr>
            <w:tcW w:w="1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58F18C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V1.0</w:t>
            </w:r>
          </w:p>
        </w:tc>
      </w:tr>
      <w:tr w14:paraId="59B8C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D21667">
            <w:pPr>
              <w:spacing w:line="30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构建指导书</w:t>
            </w:r>
          </w:p>
        </w:tc>
        <w:tc>
          <w:tcPr>
            <w:tcW w:w="24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F7377D">
            <w:pPr>
              <w:spacing w:line="30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docs/06-build-guide.md</w:t>
            </w:r>
          </w:p>
        </w:tc>
        <w:tc>
          <w:tcPr>
            <w:tcW w:w="1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D595AA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V1.0</w:t>
            </w:r>
          </w:p>
        </w:tc>
      </w:tr>
      <w:tr w14:paraId="4A60B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5BDDCE">
            <w:pPr>
              <w:spacing w:line="30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部署指南</w:t>
            </w:r>
          </w:p>
        </w:tc>
        <w:tc>
          <w:tcPr>
            <w:tcW w:w="24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832FE3">
            <w:pPr>
              <w:spacing w:line="30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docs/07-deployment-guide.md</w:t>
            </w:r>
          </w:p>
        </w:tc>
        <w:tc>
          <w:tcPr>
            <w:tcW w:w="1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B6B60A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V1.0</w:t>
            </w:r>
          </w:p>
        </w:tc>
      </w:tr>
      <w:tr w14:paraId="7F8F6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00590D">
            <w:pPr>
              <w:spacing w:line="30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配置项登记表</w:t>
            </w:r>
          </w:p>
        </w:tc>
        <w:tc>
          <w:tcPr>
            <w:tcW w:w="24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33FA65">
            <w:pPr>
              <w:spacing w:line="30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docs/配置项登记表.md</w:t>
            </w:r>
          </w:p>
        </w:tc>
        <w:tc>
          <w:tcPr>
            <w:tcW w:w="1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298C32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V1.0</w:t>
            </w:r>
          </w:p>
        </w:tc>
      </w:tr>
      <w:tr w14:paraId="5F15C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8C6FF4">
            <w:pPr>
              <w:spacing w:line="30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基线清单</w:t>
            </w:r>
          </w:p>
        </w:tc>
        <w:tc>
          <w:tcPr>
            <w:tcW w:w="24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78D1C8">
            <w:pPr>
              <w:spacing w:line="30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docs/基线清单.md</w:t>
            </w:r>
          </w:p>
        </w:tc>
        <w:tc>
          <w:tcPr>
            <w:tcW w:w="1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F96521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V1.0</w:t>
            </w:r>
          </w:p>
        </w:tc>
      </w:tr>
      <w:tr w14:paraId="03397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2BC81D">
            <w:pPr>
              <w:spacing w:line="30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变更申请单实例</w:t>
            </w:r>
          </w:p>
        </w:tc>
        <w:tc>
          <w:tcPr>
            <w:tcW w:w="24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55DF91">
            <w:pPr>
              <w:spacing w:line="30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docs/变更申请单-实例/</w:t>
            </w:r>
          </w:p>
        </w:tc>
        <w:tc>
          <w:tcPr>
            <w:tcW w:w="1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87B03A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V1.0</w:t>
            </w:r>
          </w:p>
        </w:tc>
      </w:tr>
    </w:tbl>
    <w:p w14:paraId="25663A06">
      <w:pPr>
        <w:pStyle w:val="3"/>
        <w:spacing w:before="280" w:after="140" w:line="360" w:lineRule="auto"/>
      </w:pPr>
      <w:bookmarkStart w:id="7" w:name="_Toc100006"/>
      <w:r>
        <w:rPr>
          <w:rFonts w:ascii="Times New Roman" w:eastAsia="宋体"/>
          <w:b/>
          <w:bCs/>
          <w:i w:val="0"/>
          <w:iCs w:val="0"/>
          <w:color w:val="000000"/>
          <w:sz w:val="28"/>
          <w:szCs w:val="28"/>
        </w:rPr>
        <w:t>4.3 分支管理工作及证据</w:t>
      </w:r>
      <w:bookmarkEnd w:id="7"/>
    </w:p>
    <w:p w14:paraId="2F1DE417">
      <w:pPr>
        <w:spacing w:after="60" w:line="360" w:lineRule="auto"/>
        <w:ind w:firstLine="480"/>
        <w:jc w:val="both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团队成员能规范地创建分支（分支命名规范），分支拉去合并规范，提交日志规范。采用简化 GitFlow 模型：main（发布基线）、develop（集成分支）、phase-N-*（里程碑分支）、hotfix/CR-*（紧急修复）。main 与 develop 设为受保护分支，合并须经 Pull Request 评审。</w:t>
      </w:r>
    </w:p>
    <w:p w14:paraId="4DAF0F73">
      <w:pPr>
        <w:spacing w:after="60" w:line="360" w:lineRule="auto"/>
        <w:ind w:firstLine="0"/>
        <w:jc w:val="both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实际使用的分支如下：</w:t>
      </w:r>
    </w:p>
    <w:p w14:paraId="5CDCB4DE">
      <w:pPr>
        <w:shd w:val="clear" w:color="auto" w:fill="F2F2F2"/>
        <w:spacing w:before="60" w:after="120" w:line="300" w:lineRule="auto"/>
        <w:ind w:left="480"/>
        <w:jc w:val="left"/>
      </w:pPr>
      <w:r>
        <w:rPr>
          <w:rFonts w:ascii="Courier New" w:eastAsia="宋体"/>
          <w:color w:val="000000"/>
          <w:sz w:val="20"/>
          <w:szCs w:val="20"/>
        </w:rPr>
        <w:t>main                     生产发布基线（受保护）</w:t>
      </w:r>
      <w:r>
        <w:br w:type="textWrapping"/>
      </w:r>
      <w:r>
        <w:rPr>
          <w:rFonts w:ascii="Courier New" w:eastAsia="宋体"/>
          <w:color w:val="000000"/>
          <w:sz w:val="20"/>
          <w:szCs w:val="20"/>
        </w:rPr>
        <w:t>develop                  日常集成分支（受保护）</w:t>
      </w:r>
      <w:r>
        <w:br w:type="textWrapping"/>
      </w:r>
      <w:r>
        <w:rPr>
          <w:rFonts w:ascii="Courier New" w:eastAsia="宋体"/>
          <w:color w:val="000000"/>
          <w:sz w:val="20"/>
          <w:szCs w:val="20"/>
        </w:rPr>
        <w:t>phase-2-backend-skeleton  M0–M2 后端骨架阶段</w:t>
      </w:r>
      <w:r>
        <w:br w:type="textWrapping"/>
      </w:r>
      <w:r>
        <w:rPr>
          <w:rFonts w:ascii="Courier New" w:eastAsia="宋体"/>
          <w:color w:val="000000"/>
          <w:sz w:val="20"/>
          <w:szCs w:val="20"/>
        </w:rPr>
        <w:t>phase-7-product-orders    M4 商品订单阶段</w:t>
      </w:r>
      <w:r>
        <w:br w:type="textWrapping"/>
      </w:r>
      <w:r>
        <w:rPr>
          <w:rFonts w:ascii="Courier New" w:eastAsia="宋体"/>
          <w:color w:val="000000"/>
          <w:sz w:val="20"/>
          <w:szCs w:val="20"/>
        </w:rPr>
        <w:t>phase-10-frontend         前端阶段</w:t>
      </w:r>
      <w:r>
        <w:br w:type="textWrapping"/>
      </w:r>
      <w:r>
        <w:rPr>
          <w:rFonts w:ascii="Courier New" w:eastAsia="宋体"/>
          <w:color w:val="000000"/>
          <w:sz w:val="20"/>
          <w:szCs w:val="20"/>
        </w:rPr>
        <w:t>phase-11-user-prerequisites M3 用户与预约阶段</w:t>
      </w:r>
      <w:r>
        <w:br w:type="textWrapping"/>
      </w:r>
      <w:r>
        <w:rPr>
          <w:rFonts w:ascii="Courier New" w:eastAsia="宋体"/>
          <w:color w:val="000000"/>
          <w:sz w:val="20"/>
          <w:szCs w:val="20"/>
        </w:rPr>
        <w:t>fix/docker-compose-port-conflict  端口冲突修复</w:t>
      </w:r>
    </w:p>
    <w:p w14:paraId="0F9D4CD8">
      <w:pPr>
        <w:spacing w:before="100" w:after="40" w:line="240" w:lineRule="auto"/>
        <w:jc w:val="center"/>
      </w:pPr>
      <w:r>
        <w:drawing>
          <wp:inline distT="0" distB="0" distL="114300" distR="114300">
            <wp:extent cx="5575300" cy="2491105"/>
            <wp:effectExtent l="0" t="0" r="2540" b="8255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249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A0957">
      <w:pPr>
        <w:spacing w:before="0" w:after="200" w:line="280" w:lineRule="auto"/>
        <w:jc w:val="center"/>
      </w:pPr>
      <w:r>
        <w:rPr>
          <w:rFonts w:ascii="Times New Roman" w:eastAsia="宋体"/>
          <w:b w:val="0"/>
          <w:bCs w:val="0"/>
          <w:i w:val="0"/>
          <w:iCs w:val="0"/>
          <w:color w:val="595959"/>
          <w:sz w:val="21"/>
          <w:szCs w:val="21"/>
        </w:rPr>
        <w:t>图4-2  分支管理证据（git branch -a，命名符合 CMP §4.2 规范）</w:t>
      </w:r>
    </w:p>
    <w:p w14:paraId="3A062862">
      <w:pPr>
        <w:pStyle w:val="3"/>
        <w:spacing w:before="280" w:after="140" w:line="360" w:lineRule="auto"/>
      </w:pPr>
      <w:bookmarkStart w:id="8" w:name="_Toc100007"/>
      <w:r>
        <w:rPr>
          <w:rFonts w:ascii="Times New Roman" w:eastAsia="宋体"/>
          <w:b/>
          <w:bCs/>
          <w:i w:val="0"/>
          <w:iCs w:val="0"/>
          <w:color w:val="000000"/>
          <w:sz w:val="28"/>
          <w:szCs w:val="28"/>
        </w:rPr>
        <w:t>4.4 基线管理工作及证据</w:t>
      </w:r>
      <w:bookmarkEnd w:id="8"/>
    </w:p>
    <w:p w14:paraId="55E4DA61">
      <w:pPr>
        <w:spacing w:after="60" w:line="360" w:lineRule="auto"/>
        <w:ind w:firstLine="480"/>
        <w:jc w:val="both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符合配置管理计划形成基线，打标签的版本号符合配置管理计划中的版本命名规范。采用语义化版本号 MAJOR.MINOR.PATCH + 里程碑后缀，共打标签 8 个基线 tag：v1.0.0-fb（功能基线）、v1.0.0-m1 至 v1.0.0-m6（M1–M6 里程碑基线）、v1.0.0-rc1（产品基线）。</w:t>
      </w:r>
      <w:r>
        <w:drawing>
          <wp:inline distT="0" distB="0" distL="114300" distR="114300">
            <wp:extent cx="5570220" cy="2011045"/>
            <wp:effectExtent l="0" t="0" r="7620" b="635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0220" cy="201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36A0D">
      <w:pPr>
        <w:spacing w:before="100" w:after="40" w:line="240" w:lineRule="auto"/>
        <w:jc w:val="center"/>
      </w:pPr>
    </w:p>
    <w:p w14:paraId="5E2EA210">
      <w:pPr>
        <w:spacing w:before="0" w:after="200" w:line="280" w:lineRule="auto"/>
        <w:jc w:val="center"/>
      </w:pPr>
      <w:r>
        <w:rPr>
          <w:rFonts w:ascii="Times New Roman" w:eastAsia="宋体"/>
          <w:b w:val="0"/>
          <w:bCs w:val="0"/>
          <w:i w:val="0"/>
          <w:iCs w:val="0"/>
          <w:color w:val="595959"/>
          <w:sz w:val="21"/>
          <w:szCs w:val="21"/>
        </w:rPr>
        <w:t>图4-3  基线管理证据（git tag -l，8 个基线符合 SemVer 规范）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10"/>
        <w:gridCol w:w="1790"/>
        <w:gridCol w:w="1432"/>
        <w:gridCol w:w="4116"/>
      </w:tblGrid>
      <w:tr w14:paraId="0CDE6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D50788"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i w:val="0"/>
                <w:iCs w:val="0"/>
                <w:color w:val="000000"/>
                <w:sz w:val="24"/>
                <w:szCs w:val="24"/>
              </w:rPr>
              <w:t>Tag</w:t>
            </w:r>
          </w:p>
        </w:tc>
        <w:tc>
          <w:tcPr>
            <w:tcW w:w="1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9A6CDF"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i w:val="0"/>
                <w:iCs w:val="0"/>
                <w:color w:val="000000"/>
                <w:sz w:val="24"/>
                <w:szCs w:val="24"/>
              </w:rPr>
              <w:t>基线类型</w:t>
            </w:r>
          </w:p>
        </w:tc>
        <w:tc>
          <w:tcPr>
            <w:tcW w:w="8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55D2EB"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i w:val="0"/>
                <w:iCs w:val="0"/>
                <w:color w:val="000000"/>
                <w:sz w:val="24"/>
                <w:szCs w:val="24"/>
              </w:rPr>
              <w:t>建立日期</w:t>
            </w:r>
          </w:p>
        </w:tc>
        <w:tc>
          <w:tcPr>
            <w:tcW w:w="23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201E8B"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i w:val="0"/>
                <w:iCs w:val="0"/>
                <w:color w:val="000000"/>
                <w:sz w:val="24"/>
                <w:szCs w:val="24"/>
              </w:rPr>
              <w:t>内容概要</w:t>
            </w:r>
          </w:p>
        </w:tc>
      </w:tr>
      <w:tr w14:paraId="1C110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0C4D18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v1.0.0-fb</w:t>
            </w:r>
          </w:p>
        </w:tc>
        <w:tc>
          <w:tcPr>
            <w:tcW w:w="1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401D19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功能基线</w:t>
            </w:r>
          </w:p>
        </w:tc>
        <w:tc>
          <w:tcPr>
            <w:tcW w:w="8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792BF6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2026.06.13</w:t>
            </w:r>
          </w:p>
        </w:tc>
        <w:tc>
          <w:tcPr>
            <w:tcW w:w="23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32C9FF">
            <w:pPr>
              <w:spacing w:line="30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确立 V1 功能边界与 H5-first 交付模型</w:t>
            </w:r>
          </w:p>
        </w:tc>
      </w:tr>
      <w:tr w14:paraId="5FDF7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E5FAF2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v1.0.0-m1</w:t>
            </w:r>
          </w:p>
        </w:tc>
        <w:tc>
          <w:tcPr>
            <w:tcW w:w="1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00B7BD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里程碑基线</w:t>
            </w:r>
          </w:p>
        </w:tc>
        <w:tc>
          <w:tcPr>
            <w:tcW w:w="8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48313E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2026.06.13</w:t>
            </w:r>
          </w:p>
        </w:tc>
        <w:tc>
          <w:tcPr>
            <w:tcW w:w="23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294FD9">
            <w:pPr>
              <w:spacing w:line="30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H5 基础与可重复演示数据</w:t>
            </w:r>
          </w:p>
        </w:tc>
      </w:tr>
      <w:tr w14:paraId="7A10B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C60972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v1.0.0-m3</w:t>
            </w:r>
          </w:p>
        </w:tc>
        <w:tc>
          <w:tcPr>
            <w:tcW w:w="1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45AEFA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里程碑基线</w:t>
            </w:r>
          </w:p>
        </w:tc>
        <w:tc>
          <w:tcPr>
            <w:tcW w:w="8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95D50E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2026.06.13</w:t>
            </w:r>
          </w:p>
        </w:tc>
        <w:tc>
          <w:tcPr>
            <w:tcW w:w="23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E84F6F">
            <w:pPr>
              <w:spacing w:line="30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用户资料、真实预约（含登录变更）</w:t>
            </w:r>
          </w:p>
        </w:tc>
      </w:tr>
      <w:tr w14:paraId="7F99E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44E96F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v1.0.0-m6</w:t>
            </w:r>
          </w:p>
        </w:tc>
        <w:tc>
          <w:tcPr>
            <w:tcW w:w="1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2D3ECF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里程碑基线</w:t>
            </w:r>
          </w:p>
        </w:tc>
        <w:tc>
          <w:tcPr>
            <w:tcW w:w="8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268099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2026.06.14</w:t>
            </w:r>
          </w:p>
        </w:tc>
        <w:tc>
          <w:tcPr>
            <w:tcW w:w="23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9D0611">
            <w:pPr>
              <w:spacing w:line="30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发布收口、回归与错误体验</w:t>
            </w:r>
          </w:p>
        </w:tc>
      </w:tr>
      <w:tr w14:paraId="4A4FF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713703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v1.0.0-rc1</w:t>
            </w:r>
          </w:p>
        </w:tc>
        <w:tc>
          <w:tcPr>
            <w:tcW w:w="1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98E57C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产品基线</w:t>
            </w:r>
          </w:p>
        </w:tc>
        <w:tc>
          <w:tcPr>
            <w:tcW w:w="8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425623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2026.06.23</w:t>
            </w:r>
          </w:p>
        </w:tc>
        <w:tc>
          <w:tcPr>
            <w:tcW w:w="23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3B08BE">
            <w:pPr>
              <w:spacing w:line="30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全部完成 + CI/CD 全通 + Docker 部署可演示</w:t>
            </w:r>
          </w:p>
        </w:tc>
      </w:tr>
    </w:tbl>
    <w:p w14:paraId="7AD1C860">
      <w:pPr>
        <w:pStyle w:val="3"/>
        <w:spacing w:before="280" w:after="140" w:line="360" w:lineRule="auto"/>
      </w:pPr>
      <w:bookmarkStart w:id="9" w:name="_Toc100008"/>
      <w:r>
        <w:rPr>
          <w:rFonts w:ascii="Times New Roman" w:eastAsia="宋体"/>
          <w:b/>
          <w:bCs/>
          <w:i w:val="0"/>
          <w:iCs w:val="0"/>
          <w:color w:val="000000"/>
          <w:sz w:val="28"/>
          <w:szCs w:val="28"/>
        </w:rPr>
        <w:t>4.5 变更管理工作及证据</w:t>
      </w:r>
      <w:bookmarkEnd w:id="9"/>
    </w:p>
    <w:p w14:paraId="6E008B41">
      <w:pPr>
        <w:spacing w:after="60" w:line="360" w:lineRule="auto"/>
        <w:ind w:firstLine="480"/>
        <w:jc w:val="both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基线中的配置项修改时，有对应的变更单，并通过审核。配置库提交日志记录准确、及时，与提交内容相符。本项目提交了 2 个真实变更申请单实例：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89"/>
        <w:gridCol w:w="1969"/>
        <w:gridCol w:w="3758"/>
        <w:gridCol w:w="1432"/>
      </w:tblGrid>
      <w:tr w14:paraId="53049C7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5E7114"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i w:val="0"/>
                <w:iCs w:val="0"/>
                <w:color w:val="000000"/>
                <w:sz w:val="24"/>
                <w:szCs w:val="24"/>
              </w:rPr>
              <w:t>变更单号</w:t>
            </w:r>
          </w:p>
        </w:tc>
        <w:tc>
          <w:tcPr>
            <w:tcW w:w="11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F00F23"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i w:val="0"/>
                <w:iCs w:val="0"/>
                <w:color w:val="000000"/>
                <w:sz w:val="24"/>
                <w:szCs w:val="24"/>
              </w:rPr>
              <w:t>变更对象</w:t>
            </w:r>
          </w:p>
        </w:tc>
        <w:tc>
          <w:tcPr>
            <w:tcW w:w="21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F0CE8E"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i w:val="0"/>
                <w:iCs w:val="0"/>
                <w:color w:val="000000"/>
                <w:sz w:val="24"/>
                <w:szCs w:val="24"/>
              </w:rPr>
              <w:t>变更原因</w:t>
            </w:r>
          </w:p>
        </w:tc>
        <w:tc>
          <w:tcPr>
            <w:tcW w:w="8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78809D"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i w:val="0"/>
                <w:iCs w:val="0"/>
                <w:color w:val="000000"/>
                <w:sz w:val="24"/>
                <w:szCs w:val="24"/>
              </w:rPr>
              <w:t>审批结果</w:t>
            </w:r>
          </w:p>
        </w:tc>
      </w:tr>
      <w:tr w14:paraId="39296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9A678D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CR-20260613-001</w:t>
            </w:r>
          </w:p>
        </w:tc>
        <w:tc>
          <w:tcPr>
            <w:tcW w:w="11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FFF9CE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H5 公开登录方式</w:t>
            </w:r>
          </w:p>
        </w:tc>
        <w:tc>
          <w:tcPr>
            <w:tcW w:w="21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D51038">
            <w:pPr>
              <w:spacing w:line="30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微信登录延后，需可落地的登录方案阻塞 M3</w:t>
            </w:r>
          </w:p>
        </w:tc>
        <w:tc>
          <w:tcPr>
            <w:tcW w:w="8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CFF017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批准并实施</w:t>
            </w:r>
          </w:p>
        </w:tc>
      </w:tr>
      <w:tr w14:paraId="397ED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46CC52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CR-20260622-002</w:t>
            </w:r>
          </w:p>
        </w:tc>
        <w:tc>
          <w:tcPr>
            <w:tcW w:w="11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B32ECA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配置管理基线建立</w:t>
            </w:r>
          </w:p>
        </w:tc>
        <w:tc>
          <w:tcPr>
            <w:tcW w:w="21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9228D0">
            <w:pPr>
              <w:spacing w:line="30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建立 CMP 基线，纳入 CI/CD 与 Docker 部署</w:t>
            </w:r>
          </w:p>
        </w:tc>
        <w:tc>
          <w:tcPr>
            <w:tcW w:w="8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86DCAE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批准并实施</w:t>
            </w:r>
          </w:p>
        </w:tc>
      </w:tr>
    </w:tbl>
    <w:p w14:paraId="7E2E4AEE">
      <w:pPr>
        <w:spacing w:after="60" w:line="360" w:lineRule="auto"/>
        <w:ind w:firstLine="0"/>
        <w:jc w:val="both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提交日志与变更单关联示例（采用 Conventional Commits + ref 关联 CR）：</w:t>
      </w:r>
    </w:p>
    <w:p w14:paraId="035B54DE">
      <w:pPr>
        <w:shd w:val="clear" w:color="auto" w:fill="F2F2F2"/>
        <w:spacing w:before="60" w:after="120" w:line="300" w:lineRule="auto"/>
        <w:ind w:left="480"/>
        <w:jc w:val="left"/>
      </w:pPr>
      <w:r>
        <w:rPr>
          <w:rFonts w:ascii="Courier New" w:eastAsia="宋体"/>
          <w:color w:val="000000"/>
          <w:sz w:val="20"/>
          <w:szCs w:val="20"/>
        </w:rPr>
        <w:t>commit 6fe0d29</w:t>
      </w:r>
      <w:r>
        <w:br w:type="textWrapping"/>
      </w:r>
      <w:r>
        <w:rPr>
          <w:rFonts w:ascii="Courier New" w:eastAsia="宋体"/>
          <w:color w:val="000000"/>
          <w:sz w:val="20"/>
          <w:szCs w:val="20"/>
        </w:rPr>
        <w:t>refactor(auth): preset security questions with dropdown selection</w:t>
      </w:r>
      <w:r>
        <w:br w:type="textWrapping"/>
      </w:r>
      <w:r>
        <w:br w:type="textWrapping"/>
      </w:r>
      <w:r>
        <w:rPr>
          <w:rFonts w:ascii="Courier New" w:eastAsia="宋体"/>
          <w:color w:val="000000"/>
          <w:sz w:val="20"/>
          <w:szCs w:val="20"/>
        </w:rPr>
        <w:t>关联 CR：CR-20260613-001</w:t>
      </w:r>
      <w:r>
        <w:br w:type="textWrapping"/>
      </w:r>
      <w:r>
        <w:rPr>
          <w:rFonts w:ascii="Courier New" w:eastAsia="宋体"/>
          <w:color w:val="000000"/>
          <w:sz w:val="20"/>
          <w:szCs w:val="20"/>
        </w:rPr>
        <w:t>原因：H5 登录采用手机号+密码，需安全问题找回密码</w:t>
      </w:r>
    </w:p>
    <w:p w14:paraId="6AACF9FE">
      <w:pPr>
        <w:spacing w:before="100" w:after="40" w:line="240" w:lineRule="auto"/>
        <w:jc w:val="center"/>
      </w:pPr>
      <w:r>
        <w:drawing>
          <wp:inline distT="0" distB="0" distL="114300" distR="114300">
            <wp:extent cx="5574665" cy="2484120"/>
            <wp:effectExtent l="0" t="0" r="3175" b="0"/>
            <wp:docPr id="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4665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90457">
      <w:pPr>
        <w:spacing w:before="0" w:after="200" w:line="280" w:lineRule="auto"/>
        <w:jc w:val="center"/>
      </w:pPr>
      <w:r>
        <w:rPr>
          <w:rFonts w:ascii="Times New Roman" w:eastAsia="宋体"/>
          <w:b w:val="0"/>
          <w:bCs w:val="0"/>
          <w:i w:val="0"/>
          <w:iCs w:val="0"/>
          <w:color w:val="595959"/>
          <w:sz w:val="21"/>
          <w:szCs w:val="21"/>
        </w:rPr>
        <w:t>图4-4  变更管理证据（提交日志与 CR 变更单关联）</w:t>
      </w:r>
    </w:p>
    <w:p w14:paraId="2E95FC8F">
      <w:pPr>
        <w:pStyle w:val="3"/>
        <w:spacing w:before="280" w:after="140" w:line="360" w:lineRule="auto"/>
      </w:pPr>
      <w:bookmarkStart w:id="10" w:name="_Toc100009"/>
      <w:r>
        <w:rPr>
          <w:rFonts w:ascii="Times New Roman" w:eastAsia="宋体"/>
          <w:b/>
          <w:bCs/>
          <w:i w:val="0"/>
          <w:iCs w:val="0"/>
          <w:color w:val="000000"/>
          <w:sz w:val="28"/>
          <w:szCs w:val="28"/>
        </w:rPr>
        <w:t>4.6 版本管理工作及证据</w:t>
      </w:r>
      <w:bookmarkEnd w:id="10"/>
    </w:p>
    <w:p w14:paraId="76BDAD30">
      <w:pPr>
        <w:spacing w:after="60" w:line="360" w:lineRule="auto"/>
        <w:ind w:firstLine="480"/>
        <w:jc w:val="both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版本发布与配置计划相符合。产品基线 v1.0.0-rc1 已于 2026-06-23 在 main 分支打 tag 并推送 GitHub，CI 全绿（843/843 测试通过），三端可访问（管理端 8080 / H5 8081 / API 8082）。部署后的运行证据如下：</w:t>
      </w:r>
    </w:p>
    <w:p w14:paraId="014BCAFC">
      <w:pPr>
        <w:spacing w:before="100" w:after="40" w:line="240" w:lineRule="auto"/>
        <w:jc w:val="center"/>
      </w:pPr>
      <w:r>
        <w:drawing>
          <wp:inline distT="0" distB="0" distL="114300" distR="114300">
            <wp:extent cx="5565140" cy="3171825"/>
            <wp:effectExtent l="0" t="0" r="12700" b="13335"/>
            <wp:docPr id="1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6514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8502D">
      <w:pPr>
        <w:spacing w:before="0" w:after="200" w:line="280" w:lineRule="auto"/>
        <w:jc w:val="center"/>
      </w:pPr>
      <w:r>
        <w:rPr>
          <w:rFonts w:ascii="Times New Roman" w:eastAsia="宋体"/>
          <w:b w:val="0"/>
          <w:bCs w:val="0"/>
          <w:i w:val="0"/>
          <w:iCs w:val="0"/>
          <w:color w:val="595959"/>
          <w:sz w:val="21"/>
          <w:szCs w:val="21"/>
        </w:rPr>
        <w:t>图4-5  版本发布后运行证据（docker compose ps，四个服务均为 healthy）</w:t>
      </w:r>
    </w:p>
    <w:p w14:paraId="16CBD0E4">
      <w:pPr>
        <w:pStyle w:val="2"/>
        <w:spacing w:before="360" w:after="200" w:line="400" w:lineRule="auto"/>
      </w:pPr>
      <w:bookmarkStart w:id="11" w:name="_Toc100010"/>
      <w:r>
        <w:rPr>
          <w:rFonts w:ascii="Times New Roman" w:eastAsia="宋体"/>
          <w:b/>
          <w:bCs/>
          <w:i w:val="0"/>
          <w:iCs w:val="0"/>
          <w:color w:val="000000"/>
          <w:sz w:val="32"/>
          <w:szCs w:val="32"/>
        </w:rPr>
        <w:t>5 持续集成完成情况（30分）</w:t>
      </w:r>
      <w:bookmarkEnd w:id="11"/>
    </w:p>
    <w:p w14:paraId="7868136B">
      <w:pPr>
        <w:spacing w:after="60" w:line="360" w:lineRule="auto"/>
        <w:ind w:firstLine="480"/>
        <w:jc w:val="both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本小组持续集成完成的自动化工作如下。默认贡献均等。采用 Jenkins（主力）+ GitHub Actions（补充）双流水线，Docker Compose 实现一键部署。</w:t>
      </w:r>
    </w:p>
    <w:p w14:paraId="7F9F654F">
      <w:pPr>
        <w:spacing w:after="50" w:line="360" w:lineRule="auto"/>
        <w:ind w:left="480"/>
        <w:jc w:val="left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☑  自动编译（mvn -B clean compile，Jenkins Backend Build 阶段）</w:t>
      </w:r>
    </w:p>
    <w:p w14:paraId="658D68AF">
      <w:pPr>
        <w:spacing w:after="50" w:line="360" w:lineRule="auto"/>
        <w:ind w:left="480"/>
        <w:jc w:val="left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☑  自动打包（mvn -B package -DskipTests，产出可执行 jar）</w:t>
      </w:r>
    </w:p>
    <w:p w14:paraId="3BEEC1F8">
      <w:pPr>
        <w:spacing w:after="50" w:line="360" w:lineRule="auto"/>
        <w:ind w:left="480"/>
        <w:jc w:val="left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☑  自动部署（docker compose up -d --build --wait，四服务一键拉起）</w:t>
      </w:r>
    </w:p>
    <w:p w14:paraId="5B3A8AB6">
      <w:pPr>
        <w:spacing w:after="50" w:line="360" w:lineRule="auto"/>
        <w:ind w:left="480"/>
        <w:jc w:val="left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☑  自动测试（mvn -B test（843 个测试）+ 前端 vitest 契约测试）</w:t>
      </w:r>
    </w:p>
    <w:p w14:paraId="34AFC8AE">
      <w:pPr>
        <w:spacing w:after="50" w:line="360" w:lineRule="auto"/>
        <w:ind w:left="480"/>
        <w:jc w:val="left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☐  自动生成 allure 测试报告（未采用 allure，采用 JaCoCo 覆盖率报告代替）</w:t>
      </w:r>
    </w:p>
    <w:p w14:paraId="190DE72F">
      <w:pPr>
        <w:spacing w:after="50" w:line="360" w:lineRule="auto"/>
        <w:ind w:left="480"/>
        <w:jc w:val="left"/>
      </w:pPr>
      <w:r>
        <w:rPr>
          <w:rFonts w:hint="eastAsia"/>
          <w:b w:val="0"/>
          <w:bCs w:val="0"/>
          <w:i w:val="0"/>
          <w:iCs w:val="0"/>
          <w:color w:val="000000"/>
          <w:sz w:val="24"/>
          <w:szCs w:val="24"/>
          <w:lang w:eastAsia="zh-CN"/>
        </w:rPr>
        <w:t>□</w:t>
      </w: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 xml:space="preserve">  自动邮件通知（Jenkins Email Extension，构建结果通知组员）</w:t>
      </w:r>
    </w:p>
    <w:p w14:paraId="5A0624C8">
      <w:pPr>
        <w:spacing w:after="50" w:line="360" w:lineRule="auto"/>
        <w:ind w:left="480"/>
        <w:jc w:val="left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☑  其他：自动生成 JaCoCo 覆盖率报告（class 93% / line 72%）+ Docker 镜像多阶段构建 + 健康检查关门</w:t>
      </w:r>
    </w:p>
    <w:p w14:paraId="28F98CEB">
      <w:pPr>
        <w:spacing w:after="60" w:line="360" w:lineRule="auto"/>
        <w:ind w:firstLine="0"/>
        <w:jc w:val="both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持续集成构建历史证据如下：</w:t>
      </w:r>
    </w:p>
    <w:p w14:paraId="54557773">
      <w:pPr>
        <w:spacing w:before="100" w:after="40" w:line="240" w:lineRule="auto"/>
        <w:jc w:val="center"/>
      </w:pPr>
      <w:r>
        <w:drawing>
          <wp:inline distT="0" distB="0" distL="114300" distR="114300">
            <wp:extent cx="5574665" cy="2960370"/>
            <wp:effectExtent l="0" t="0" r="3175" b="11430"/>
            <wp:docPr id="1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4665" cy="296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D7436">
      <w:pPr>
        <w:spacing w:before="0" w:after="200" w:line="280" w:lineRule="auto"/>
        <w:jc w:val="center"/>
      </w:pPr>
      <w:r>
        <w:rPr>
          <w:rFonts w:ascii="Times New Roman" w:eastAsia="宋体"/>
          <w:b w:val="0"/>
          <w:bCs w:val="0"/>
          <w:i w:val="0"/>
          <w:iCs w:val="0"/>
          <w:color w:val="595959"/>
          <w:sz w:val="21"/>
          <w:szCs w:val="21"/>
        </w:rPr>
        <w:t>图5-1  Jenkins 持续集成构建历史（多次 SUCCESS 证明 CI 可重复）</w:t>
      </w:r>
    </w:p>
    <w:p w14:paraId="60D910CA">
      <w:pPr>
        <w:pStyle w:val="3"/>
        <w:spacing w:before="280" w:after="140" w:line="360" w:lineRule="auto"/>
      </w:pPr>
      <w:bookmarkStart w:id="12" w:name="_Toc100011"/>
      <w:r>
        <w:rPr>
          <w:rFonts w:ascii="Times New Roman" w:eastAsia="宋体"/>
          <w:b/>
          <w:bCs/>
          <w:i w:val="0"/>
          <w:iCs w:val="0"/>
          <w:color w:val="000000"/>
          <w:sz w:val="28"/>
          <w:szCs w:val="28"/>
        </w:rPr>
        <w:t>5.1 亮点、创新点</w:t>
      </w:r>
      <w:bookmarkEnd w:id="12"/>
    </w:p>
    <w:p w14:paraId="1086BCAD">
      <w:pPr>
        <w:spacing w:after="40" w:line="360" w:lineRule="auto"/>
        <w:ind w:firstLine="480"/>
        <w:jc w:val="both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1. 双 CI 互补：Jenkins 为主力演示流水线（编译→测试→打包→Docker→部署→健康检查→邮件），GitHub Actions 作为补充实现 push/PR 触发的三 job 并行验证，两者互为补充。</w:t>
      </w:r>
      <w:r>
        <w:drawing>
          <wp:inline distT="0" distB="0" distL="114300" distR="114300">
            <wp:extent cx="5574665" cy="2963545"/>
            <wp:effectExtent l="0" t="0" r="3175" b="8255"/>
            <wp:docPr id="2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4665" cy="296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DE073">
      <w:pPr>
        <w:spacing w:after="40" w:line="360" w:lineRule="auto"/>
        <w:ind w:firstLine="480"/>
        <w:jc w:val="both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2. Docker 多阶段构建：后端镜像用 maven 编译 + JRE 运行两阶段，运行镜像更小更安全；非 root 用户运行，HEALTHCHECK 内置。</w:t>
      </w:r>
      <w:r>
        <w:drawing>
          <wp:inline distT="0" distB="0" distL="114300" distR="114300">
            <wp:extent cx="5574665" cy="2936875"/>
            <wp:effectExtent l="0" t="0" r="3175" b="4445"/>
            <wp:docPr id="2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4665" cy="293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1BE43">
      <w:pPr>
        <w:spacing w:after="40" w:line="360" w:lineRule="auto"/>
        <w:ind w:firstLine="480"/>
        <w:jc w:val="both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3. 一键部署与健康关门：docker compose up -d --build --wait 一条命令完成镜像构建、数据库初始化、四服务启动与健康检查；api 依赖 mysql 的 healthcheck，确保启动顺序。</w:t>
      </w:r>
      <w:r>
        <w:drawing>
          <wp:inline distT="0" distB="0" distL="114300" distR="114300">
            <wp:extent cx="5574665" cy="1490345"/>
            <wp:effectExtent l="0" t="0" r="3175" b="3175"/>
            <wp:docPr id="2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4665" cy="149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21D26">
      <w:pPr>
        <w:spacing w:after="40" w:line="360" w:lineRule="auto"/>
        <w:ind w:firstLine="480"/>
        <w:jc w:val="both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4. 全面配置管理证据链：8 个基线 tag + 76 个配置项登记 + 2 个真实变更单 + 第 16 周配置审计证据，形成可审计的 SCM 闭环。</w:t>
      </w:r>
      <w:r>
        <w:drawing>
          <wp:inline distT="0" distB="0" distL="114300" distR="114300">
            <wp:extent cx="5568950" cy="2942590"/>
            <wp:effectExtent l="0" t="0" r="8890" b="13970"/>
            <wp:docPr id="2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294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77B0E">
      <w:pPr>
        <w:pStyle w:val="3"/>
        <w:spacing w:before="280" w:after="140" w:line="360" w:lineRule="auto"/>
      </w:pPr>
      <w:bookmarkStart w:id="13" w:name="_Toc100012"/>
      <w:r>
        <w:rPr>
          <w:rFonts w:ascii="Times New Roman" w:eastAsia="宋体"/>
          <w:b/>
          <w:bCs/>
          <w:i w:val="0"/>
          <w:iCs w:val="0"/>
          <w:color w:val="000000"/>
          <w:sz w:val="28"/>
          <w:szCs w:val="28"/>
        </w:rPr>
        <w:t>5.2 不足</w:t>
      </w:r>
      <w:bookmarkEnd w:id="13"/>
    </w:p>
    <w:p w14:paraId="75A8434D">
      <w:pPr>
        <w:spacing w:after="40" w:line="360" w:lineRule="auto"/>
        <w:ind w:firstLine="480"/>
        <w:jc w:val="both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1. 未引入 allure 测试报告，代替采用了 JaCoCo 覆盖率报告，测试结果的可视化程度有待加强。</w:t>
      </w:r>
    </w:p>
    <w:p w14:paraId="663C5AEE">
      <w:pPr>
        <w:spacing w:after="40" w:line="360" w:lineRule="auto"/>
        <w:ind w:firstLine="480"/>
        <w:jc w:val="both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2. 前端覆盖率默认未启用（已在构建指导书给出启用步骤），仅后端有 JaCoCo 覆盖率。</w:t>
      </w:r>
    </w:p>
    <w:p w14:paraId="40C25E89">
      <w:pPr>
        <w:spacing w:after="40" w:line="360" w:lineRule="auto"/>
        <w:ind w:firstLine="480"/>
        <w:jc w:val="both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3. Jenkins 构建过程中出现过几次 FAILURE（Docker 构建与环境问题），已修复但说明流水线健壮性仍需提升。</w:t>
      </w:r>
    </w:p>
    <w:p w14:paraId="73FC146A">
      <w:pPr>
        <w:spacing w:after="40" w:line="360" w:lineRule="auto"/>
        <w:ind w:firstLine="480"/>
        <w:jc w:val="both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4. 项目为单人完成，缺乏多人协作下的 PR 评审与分支合并实战，分支策略的协作价值未充分体现。</w:t>
      </w:r>
    </w:p>
    <w:p w14:paraId="5425240E">
      <w:pPr>
        <w:pStyle w:val="2"/>
        <w:spacing w:before="360" w:after="200" w:line="400" w:lineRule="auto"/>
      </w:pPr>
      <w:bookmarkStart w:id="14" w:name="_Toc100013"/>
      <w:r>
        <w:rPr>
          <w:rFonts w:ascii="Times New Roman" w:eastAsia="宋体"/>
          <w:b/>
          <w:bCs/>
          <w:i w:val="0"/>
          <w:iCs w:val="0"/>
          <w:color w:val="000000"/>
          <w:sz w:val="32"/>
          <w:szCs w:val="32"/>
        </w:rPr>
        <w:t>6 总结</w:t>
      </w:r>
      <w:bookmarkEnd w:id="14"/>
    </w:p>
    <w:p w14:paraId="3556FEC2">
      <w:pPr>
        <w:pStyle w:val="3"/>
        <w:spacing w:before="280" w:after="140" w:line="360" w:lineRule="auto"/>
      </w:pPr>
      <w:bookmarkStart w:id="15" w:name="_Toc100014"/>
      <w:r>
        <w:rPr>
          <w:rFonts w:ascii="Times New Roman" w:eastAsia="宋体"/>
          <w:b/>
          <w:bCs/>
          <w:i w:val="0"/>
          <w:iCs w:val="0"/>
          <w:color w:val="000000"/>
          <w:sz w:val="28"/>
          <w:szCs w:val="28"/>
        </w:rPr>
        <w:t>6.1 曾志洪 总结：</w:t>
      </w:r>
      <w:bookmarkEnd w:id="15"/>
    </w:p>
    <w:p w14:paraId="39F5D946">
      <w:pPr>
        <w:spacing w:after="60" w:line="360" w:lineRule="auto"/>
        <w:ind w:firstLine="480"/>
        <w:jc w:val="both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在本次期末课程设计中，我独立完成了 PetCare O2O 项目从需求到产品基线的全流程配置管理工作。主要完成的任务包括：</w:t>
      </w:r>
    </w:p>
    <w:p w14:paraId="0A8B5000">
      <w:pPr>
        <w:spacing w:after="40" w:line="360" w:lineRule="auto"/>
        <w:ind w:firstLine="480"/>
        <w:jc w:val="both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（1） 使用 Git + GitHub 完成版本控制，建立 main/develop/phase-* 分支模型，累计 179 次提交，全部遵循 Conventional Commits 规范。</w:t>
      </w:r>
    </w:p>
    <w:p w14:paraId="1214370C">
      <w:pPr>
        <w:spacing w:after="40" w:line="360" w:lineRule="auto"/>
        <w:ind w:firstLine="480"/>
        <w:jc w:val="both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（2） 建立 8 个基线 tag（v1.0.0-fb 至 v1.0.0-rc1），覆盖功能基线、M1–M6 里程碑基线与产品基线，符合语义化版本规范。</w:t>
      </w:r>
    </w:p>
    <w:p w14:paraId="1E057F74">
      <w:pPr>
        <w:spacing w:after="40" w:line="360" w:lineRule="auto"/>
        <w:ind w:firstLine="480"/>
        <w:jc w:val="both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（3） 编制并落实配置管理计划，识别 76 个配置项，提交 2 个真实变更申请单实例，并完成第 16 周配置审计。</w:t>
      </w:r>
    </w:p>
    <w:p w14:paraId="003E88FA">
      <w:pPr>
        <w:spacing w:after="40" w:line="360" w:lineRule="auto"/>
        <w:ind w:firstLine="480"/>
        <w:jc w:val="both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（4） 搭建 Jenkins + GitHub Actions 双 CI 流水线，实现自动编证、测试（843 个测试）、打包、Docker 镜像构建、一键部署与邮件通知的全自动化闭环。</w:t>
      </w:r>
    </w:p>
    <w:p w14:paraId="6D8B389D">
      <w:pPr>
        <w:spacing w:after="40" w:line="360" w:lineRule="auto"/>
        <w:ind w:firstLine="480"/>
        <w:jc w:val="both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（5） 采用 Docker Compose 实现容器化一键部署，完成后端 API、管理端、用户端 H5、MySQL 四服务均可运行且健康检查通过。</w:t>
      </w:r>
    </w:p>
    <w:p w14:paraId="0B9DFBE3">
      <w:pPr>
        <w:spacing w:after="60" w:line="360" w:lineRule="auto"/>
        <w:ind w:firstLine="480"/>
        <w:jc w:val="both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通过本次课程设计，我深入理解了软件配置管理在保证软件质量与可追溯性方面的价值，掌握了 Git 分支策略、基线与变更控制、持续集成与容器化部署的实操能力。</w:t>
      </w:r>
    </w:p>
    <w:p w14:paraId="21640D95">
      <w:pPr>
        <w:pStyle w:val="2"/>
        <w:spacing w:before="360" w:after="200" w:line="400" w:lineRule="auto"/>
      </w:pPr>
      <w:bookmarkStart w:id="16" w:name="_Toc100015"/>
      <w:r>
        <w:rPr>
          <w:rFonts w:ascii="Times New Roman" w:eastAsia="宋体"/>
          <w:b/>
          <w:bCs/>
          <w:i w:val="0"/>
          <w:iCs w:val="0"/>
          <w:color w:val="000000"/>
          <w:sz w:val="32"/>
          <w:szCs w:val="32"/>
        </w:rPr>
        <w:t>参考文献</w:t>
      </w:r>
      <w:bookmarkEnd w:id="16"/>
    </w:p>
    <w:p w14:paraId="294BE9A9">
      <w:pPr>
        <w:spacing w:after="40" w:line="360" w:lineRule="auto"/>
        <w:ind w:firstLine="480"/>
        <w:jc w:val="both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[1] IEEE Std 828-2012. Configuration Management in Systems and Software Engineering [S]. IEEE, 2012.</w:t>
      </w:r>
    </w:p>
    <w:p w14:paraId="50FB6180">
      <w:pPr>
        <w:spacing w:after="40" w:line="360" w:lineRule="auto"/>
        <w:ind w:firstLine="480"/>
        <w:jc w:val="both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[2] GB/T 11457-2006. 信息技术 软件工程术语 [S]. 中华人民共和国国家标准, 2006.</w:t>
      </w:r>
    </w:p>
    <w:p w14:paraId="6C1FA549">
      <w:pPr>
        <w:spacing w:after="40" w:line="360" w:lineRule="auto"/>
        <w:ind w:firstLine="480"/>
        <w:jc w:val="both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[3] ISO 10007:2017. Quality management systems—Guidelines for configuration management [S]. ISO, 2017.</w:t>
      </w:r>
    </w:p>
    <w:p w14:paraId="43AE90CD">
      <w:pPr>
        <w:spacing w:after="40" w:line="360" w:lineRule="auto"/>
        <w:ind w:firstLine="480"/>
        <w:jc w:val="both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[4] 周明. 软件配置管理原理与实践 [M]. 北京：清华大学出版社, 2020.</w:t>
      </w:r>
    </w:p>
    <w:p w14:paraId="40925C2F">
      <w:pPr>
        <w:spacing w:after="40" w:line="360" w:lineRule="auto"/>
        <w:ind w:firstLine="480"/>
        <w:jc w:val="both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[5] Spring Team. Spring Boot Reference Documentation 3.3.x [EB/OL]. https://docs.spring.io/spring-boot/, 2026-06-23/2026-06-26.</w:t>
      </w:r>
    </w:p>
    <w:p w14:paraId="55391F26">
      <w:pPr>
        <w:spacing w:after="40" w:line="360" w:lineRule="auto"/>
        <w:ind w:firstLine="480"/>
        <w:jc w:val="both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[6] Conventional Commits 1.0. Conventional Commits Specification [EB/OL]. https://www.conventionalcommits.org/, 2026-06-26.</w:t>
      </w:r>
    </w:p>
    <w:p w14:paraId="7547E1C7">
      <w:pPr>
        <w:spacing w:after="40" w:line="360" w:lineRule="auto"/>
        <w:ind w:firstLine="480"/>
        <w:jc w:val="both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[7] Docker Inc. Docker Compose Documentation [EB/OL]. https://docs.docker.com/compose/, 2026-06-26.</w:t>
      </w:r>
    </w:p>
    <w:sectPr>
      <w:footerReference r:id="rId4" w:type="default"/>
      <w:pgSz w:w="11906" w:h="16838"/>
      <w:pgMar w:top="1440" w:right="1417" w:bottom="1440" w:left="1701" w:header="708" w:footer="708" w:gutter="0"/>
      <w:pgNumType w:fmt="decimal"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BFE306">
    <w:pPr>
      <w:jc w:val="center"/>
    </w:pPr>
    <w:r>
      <w:rPr>
        <w:rFonts w:ascii="Times New Roman" w:eastAsia="宋体"/>
        <w:color w:val="000000"/>
        <w:sz w:val="20"/>
        <w:szCs w:val="20"/>
      </w:rPr>
      <w:fldChar w:fldCharType="begin"/>
    </w:r>
    <w:r>
      <w:rPr>
        <w:rFonts w:ascii="Times New Roman" w:eastAsia="宋体"/>
        <w:color w:val="000000"/>
        <w:sz w:val="20"/>
        <w:szCs w:val="20"/>
      </w:rPr>
      <w:instrText xml:space="preserve">PAGE</w:instrText>
    </w:r>
    <w:r>
      <w:rPr>
        <w:rFonts w:ascii="Times New Roman" w:eastAsia="宋体"/>
        <w:color w:val="000000"/>
        <w:sz w:val="20"/>
        <w:szCs w:val="20"/>
      </w:rPr>
      <w:fldChar w:fldCharType="separate"/>
    </w:r>
    <w:r>
      <w:rPr>
        <w:rFonts w:ascii="Times New Roman" w:eastAsia="宋体"/>
        <w:color w:val="000000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FA2186">
    <w:pPr>
      <w:jc w:val="center"/>
    </w:pPr>
    <w:r>
      <w:rPr>
        <w:rFonts w:ascii="Times New Roman" w:eastAsia="宋体"/>
        <w:color w:val="000000"/>
        <w:sz w:val="20"/>
        <w:szCs w:val="20"/>
      </w:rPr>
      <w:fldChar w:fldCharType="begin"/>
    </w:r>
    <w:r>
      <w:rPr>
        <w:rFonts w:ascii="Times New Roman" w:eastAsia="宋体"/>
        <w:color w:val="000000"/>
        <w:sz w:val="20"/>
        <w:szCs w:val="20"/>
      </w:rPr>
      <w:instrText xml:space="preserve">PAGE</w:instrText>
    </w:r>
    <w:r>
      <w:rPr>
        <w:rFonts w:ascii="Times New Roman" w:eastAsia="宋体"/>
        <w:color w:val="000000"/>
        <w:sz w:val="20"/>
        <w:szCs w:val="20"/>
      </w:rPr>
      <w:fldChar w:fldCharType="separate"/>
    </w:r>
    <w:r>
      <w:rPr>
        <w:rFonts w:ascii="Times New Roman" w:eastAsia="宋体"/>
        <w:color w:val="000000"/>
        <w:sz w:val="20"/>
        <w:szCs w:val="20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7F064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Theme="minorHAnsi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eastAsia="宋体"/>
      <w:color w:val="000000"/>
      <w:sz w:val="24"/>
      <w:szCs w:val="24"/>
    </w:rPr>
  </w:style>
  <w:style w:type="paragraph" w:styleId="2">
    <w:name w:val="heading 1"/>
    <w:next w:val="1"/>
    <w:qFormat/>
    <w:uiPriority w:val="0"/>
    <w:pPr>
      <w:spacing w:before="360" w:after="200" w:line="400" w:lineRule="auto"/>
    </w:pPr>
    <w:rPr>
      <w:rFonts w:ascii="Times New Roman" w:eastAsia="宋体"/>
      <w:b/>
      <w:bCs/>
      <w:color w:val="000000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40" w:line="360" w:lineRule="auto"/>
    </w:pPr>
    <w:rPr>
      <w:rFonts w:ascii="Times New Roman" w:eastAsia="宋体"/>
      <w:b/>
      <w:bCs/>
      <w:color w:val="000000"/>
      <w:sz w:val="28"/>
      <w:szCs w:val="28"/>
    </w:rPr>
  </w:style>
  <w:style w:type="paragraph" w:styleId="4">
    <w:name w:val="heading 3"/>
    <w:next w:val="1"/>
    <w:qFormat/>
    <w:uiPriority w:val="0"/>
    <w:pPr>
      <w:spacing w:line="360" w:lineRule="auto"/>
      <w:outlineLvl w:val="2"/>
    </w:pPr>
    <w:rPr>
      <w:rFonts w:ascii="Times New Roman" w:eastAsia="宋体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line="360" w:lineRule="auto"/>
      <w:outlineLvl w:val="3"/>
    </w:pPr>
    <w:rPr>
      <w:rFonts w:ascii="Times New Roman" w:eastAsia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line="360" w:lineRule="auto"/>
      <w:outlineLvl w:val="4"/>
    </w:pPr>
    <w:rPr>
      <w:rFonts w:ascii="Times New Roman" w:eastAsia="宋体"/>
      <w:color w:val="2E74B5"/>
      <w:sz w:val="24"/>
      <w:szCs w:val="24"/>
    </w:rPr>
  </w:style>
  <w:style w:type="paragraph" w:styleId="7">
    <w:name w:val="heading 6"/>
    <w:next w:val="1"/>
    <w:qFormat/>
    <w:uiPriority w:val="0"/>
    <w:pPr>
      <w:spacing w:line="360" w:lineRule="auto"/>
      <w:outlineLvl w:val="5"/>
    </w:pPr>
    <w:rPr>
      <w:rFonts w:ascii="Times New Roman" w:eastAsia="宋体"/>
      <w:color w:val="1F4D78"/>
      <w:sz w:val="24"/>
      <w:szCs w:val="24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qFormat/>
    <w:uiPriority w:val="39"/>
    <w:pPr>
      <w:tabs>
        <w:tab w:val="right" w:leader="dot" w:pos="9026"/>
      </w:tabs>
      <w:spacing w:before="40" w:after="20" w:line="360" w:lineRule="auto"/>
      <w:ind w:left="720"/>
    </w:pPr>
    <w:rPr>
      <w:rFonts w:ascii="Times New Roman" w:eastAsia="宋体"/>
      <w:color w:val="000000"/>
      <w:sz w:val="24"/>
      <w:szCs w:val="24"/>
    </w:rPr>
  </w:style>
  <w:style w:type="paragraph" w:styleId="9">
    <w:name w:val="endnote text"/>
    <w:link w:val="21"/>
    <w:semiHidden/>
    <w:unhideWhenUsed/>
    <w:qFormat/>
    <w:uiPriority w:val="99"/>
    <w:pPr>
      <w:spacing w:after="0" w:line="240" w:lineRule="auto"/>
    </w:pPr>
    <w:rPr>
      <w:rFonts w:ascii="Times New Roman" w:eastAsia="宋体"/>
      <w:color w:val="000000"/>
      <w:sz w:val="20"/>
      <w:szCs w:val="20"/>
    </w:rPr>
  </w:style>
  <w:style w:type="paragraph" w:styleId="10">
    <w:name w:val="toc 1"/>
    <w:basedOn w:val="1"/>
    <w:next w:val="1"/>
    <w:qFormat/>
    <w:uiPriority w:val="39"/>
    <w:pPr>
      <w:tabs>
        <w:tab w:val="right" w:leader="dot" w:pos="9026"/>
      </w:tabs>
      <w:spacing w:before="120" w:after="60" w:line="360" w:lineRule="auto"/>
    </w:pPr>
    <w:rPr>
      <w:rFonts w:ascii="Times New Roman" w:eastAsia="宋体"/>
      <w:b/>
      <w:bCs/>
      <w:color w:val="000000"/>
      <w:sz w:val="24"/>
      <w:szCs w:val="24"/>
    </w:rPr>
  </w:style>
  <w:style w:type="paragraph" w:styleId="11">
    <w:name w:val="footnote text"/>
    <w:link w:val="20"/>
    <w:semiHidden/>
    <w:unhideWhenUsed/>
    <w:qFormat/>
    <w:uiPriority w:val="99"/>
    <w:pPr>
      <w:spacing w:after="0" w:line="240" w:lineRule="auto"/>
    </w:pPr>
    <w:rPr>
      <w:rFonts w:ascii="Times New Roman" w:eastAsia="宋体"/>
      <w:color w:val="000000"/>
      <w:sz w:val="20"/>
      <w:szCs w:val="20"/>
    </w:rPr>
  </w:style>
  <w:style w:type="paragraph" w:styleId="12">
    <w:name w:val="toc 2"/>
    <w:qFormat/>
    <w:uiPriority w:val="39"/>
    <w:pPr>
      <w:tabs>
        <w:tab w:val="right" w:leader="dot" w:pos="9026"/>
      </w:tabs>
      <w:spacing w:before="60" w:after="40" w:line="360" w:lineRule="auto"/>
      <w:ind w:left="360"/>
    </w:pPr>
    <w:rPr>
      <w:rFonts w:ascii="Times New Roman" w:eastAsia="宋体"/>
      <w:color w:val="000000"/>
      <w:sz w:val="24"/>
      <w:szCs w:val="24"/>
    </w:rPr>
  </w:style>
  <w:style w:type="paragraph" w:styleId="13">
    <w:name w:val="Title"/>
    <w:qFormat/>
    <w:uiPriority w:val="0"/>
    <w:pPr>
      <w:spacing w:line="360" w:lineRule="auto"/>
    </w:pPr>
    <w:rPr>
      <w:rFonts w:ascii="Times New Roman" w:eastAsia="宋体"/>
      <w:color w:val="000000"/>
      <w:sz w:val="56"/>
      <w:szCs w:val="56"/>
    </w:rPr>
  </w:style>
  <w:style w:type="character" w:styleId="16">
    <w:name w:val="endnote reference"/>
    <w:semiHidden/>
    <w:unhideWhenUsed/>
    <w:uiPriority w:val="99"/>
    <w:rPr>
      <w:vertAlign w:val="superscript"/>
    </w:rPr>
  </w:style>
  <w:style w:type="character" w:styleId="17">
    <w:name w:val="Hyperlink"/>
    <w:unhideWhenUsed/>
    <w:qFormat/>
    <w:uiPriority w:val="99"/>
    <w:rPr>
      <w:color w:val="0563C1"/>
      <w:u w:val="single"/>
    </w:rPr>
  </w:style>
  <w:style w:type="character" w:styleId="18">
    <w:name w:val="footnote reference"/>
    <w:semiHidden/>
    <w:unhideWhenUsed/>
    <w:qFormat/>
    <w:uiPriority w:val="99"/>
    <w:rPr>
      <w:vertAlign w:val="superscript"/>
    </w:rPr>
  </w:style>
  <w:style w:type="paragraph" w:styleId="19">
    <w:name w:val="List Paragraph"/>
    <w:qFormat/>
    <w:uiPriority w:val="0"/>
    <w:pPr>
      <w:spacing w:line="360" w:lineRule="auto"/>
    </w:pPr>
    <w:rPr>
      <w:rFonts w:ascii="Times New Roman" w:eastAsia="宋体"/>
      <w:color w:val="000000"/>
      <w:sz w:val="24"/>
      <w:szCs w:val="24"/>
    </w:rPr>
  </w:style>
  <w:style w:type="character" w:customStyle="1" w:styleId="20">
    <w:name w:val="Footnote Text Char"/>
    <w:link w:val="11"/>
    <w:semiHidden/>
    <w:unhideWhenUsed/>
    <w:uiPriority w:val="99"/>
    <w:rPr>
      <w:sz w:val="20"/>
      <w:szCs w:val="20"/>
    </w:rPr>
  </w:style>
  <w:style w:type="character" w:customStyle="1" w:styleId="21">
    <w:name w:val="Endnote Text Char"/>
    <w:link w:val="9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305</Words>
  <Characters>362</Characters>
  <TotalTime>5</TotalTime>
  <ScaleCrop>false</ScaleCrop>
  <LinksUpToDate>false</LinksUpToDate>
  <CharactersWithSpaces>406</CharactersWithSpaces>
  <Application>WPS Office_12.1.0.26884_F1E327BC-269C-435d-A152-05C5408002CA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2026-06-26T07:07:00Z</dcterms:created>
  <dc:creator>曾志洪</dc:creator>
  <cp:lastModifiedBy>平行线</cp:lastModifiedBy>
  <dcterms:modified xsi:type="dcterms:W3CDTF">2026-06-27T12:02:13Z</dcterms:modified>
  <dc:title>PetCare O2O 软件配置管理课程设计报告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eyJoZGlkIjoiNDUyYTFjYmMxY2FjNjJhOGM0ZmExMzJkMDg1MzVmZjUiLCJ1c2VySWQiOiI3Mzk5MTUxMDcifQ==</vt:lpwstr>
  </property>
  <property fmtid="{D5CDD505-2E9C-101B-9397-08002B2CF9AE}" pid="3" name="KSOProductBuildVer">
    <vt:lpwstr>2052-12.1.0.26884</vt:lpwstr>
  </property>
  <property fmtid="{D5CDD505-2E9C-101B-9397-08002B2CF9AE}" pid="4" name="ICV">
    <vt:lpwstr>4FFD201233964FFFAFE3953E52B00DB9_12</vt:lpwstr>
  </property>
</Properties>
</file>