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line="300" w:lineRule="auto"/>
      </w:pPr>
      <w:bookmarkStart w:name="2280-1647662159681" w:id="1"/>
      <w:bookmarkEnd w:id="1"/>
      <w:r>
        <w:rPr/>
        <w:t>主要参考：《Unity shader 入门精要 著冯乐乐》</w:t>
      </w:r>
    </w:p>
    <w:p>
      <w:pPr>
        <w:spacing w:line="300" w:lineRule="auto"/>
      </w:pPr>
      <w:bookmarkStart w:name="7033-1647662159685" w:id="2"/>
      <w:bookmarkEnd w:id="2"/>
      <w:r>
        <w:rPr/>
        <w:t xml:space="preserve">作者博客 </w:t>
      </w:r>
      <w:hyperlink r:id="rId3">
        <w:r>
          <w:rPr>
            <w:color w:val="0000ff"/>
            <w:u w:val="single"/>
          </w:rPr>
          <w:t>http://blog.csdn.net/candycat1992/article/details/50167285</w:t>
        </w:r>
      </w:hyperlink>
    </w:p>
    <w:p>
      <w:pPr>
        <w:spacing w:line="300" w:lineRule="auto"/>
      </w:pPr>
      <w:bookmarkStart w:name="1640-1647662159689" w:id="3"/>
      <w:bookmarkEnd w:id="3"/>
      <w:r>
        <w:rPr/>
        <w:t xml:space="preserve">浅墨博客 </w:t>
      </w:r>
      <w:hyperlink r:id="rId4">
        <w:r>
          <w:rPr>
            <w:color w:val="0000ff"/>
            <w:u w:val="single"/>
          </w:rPr>
          <w:t>http://blog.csdn.net/poem_qianmo/article/details/49556461</w:t>
        </w:r>
      </w:hyperlink>
    </w:p>
    <w:p>
      <w:pPr>
        <w:spacing w:line="300" w:lineRule="auto"/>
      </w:pPr>
      <w:bookmarkStart w:name="8117-1647662159693" w:id="4"/>
      <w:bookmarkEnd w:id="4"/>
      <w:r>
        <w:rPr/>
        <w:t xml:space="preserve">风宇冲博客 </w:t>
      </w:r>
      <w:hyperlink r:id="rId5">
        <w:r>
          <w:rPr>
            <w:color w:val="0000ff"/>
            <w:u w:val="single"/>
          </w:rPr>
          <w:t>http://blog.sina.com.cn/s/blog_471132920101d5kh.html</w:t>
        </w:r>
      </w:hyperlink>
    </w:p>
    <w:p>
      <w:pPr>
        <w:spacing w:line="300" w:lineRule="auto"/>
      </w:pPr>
      <w:bookmarkStart w:name="4248-1647662159694" w:id="5"/>
      <w:bookmarkEnd w:id="5"/>
      <w:r>
        <w:rPr/>
        <w:t>潜水的小懒猫博客</w:t>
      </w:r>
      <w:hyperlink r:id="rId6">
        <w:r>
          <w:rPr>
            <w:color w:val="0000ff"/>
            <w:u w:val="single"/>
          </w:rPr>
          <w:t>http://blog.sina.com.cn/s/articlelist_2312702844_6_1.html</w:t>
        </w:r>
      </w:hyperlink>
    </w:p>
    <w:p>
      <w:pPr>
        <w:spacing w:line="300" w:lineRule="auto"/>
      </w:pPr>
      <w:bookmarkStart w:name="5330-1647662159704" w:id="6"/>
      <w:bookmarkEnd w:id="6"/>
      <w:r>
        <w:rPr/>
        <w:t>猫都能学会的Unity3D Shader</w:t>
      </w:r>
      <w:hyperlink r:id="rId7">
        <w:r>
          <w:rPr>
            <w:color w:val="0000ff"/>
            <w:u w:val="single"/>
          </w:rPr>
          <w:t>https://onevcat.com/2013/07/shader-tutorial-1/</w:t>
        </w:r>
      </w:hyperlink>
    </w:p>
    <w:p>
      <w:pPr>
        <w:spacing w:line="300" w:lineRule="auto"/>
      </w:pPr>
      <w:bookmarkStart w:name="3577-1647662159706" w:id="7"/>
      <w:bookmarkEnd w:id="7"/>
      <w:hyperlink r:id="rId8">
        <w:r>
          <w:rPr>
            <w:color w:val="0000ff"/>
            <w:u w:val="single"/>
          </w:rPr>
          <w:t>https://onevcat.com/2013/08/shader-tutorial-2/</w:t>
        </w:r>
      </w:hyperlink>
    </w:p>
    <w:p>
      <w:pPr>
        <w:spacing w:line="300" w:lineRule="auto"/>
      </w:pPr>
      <w:bookmarkStart w:name="9040-1647662159710" w:id="8"/>
      <w:bookmarkEnd w:id="8"/>
      <w:r>
        <w:rPr/>
        <w:t>蛮牛教育Shader编程教程</w:t>
      </w:r>
      <w:hyperlink r:id="rId9">
        <w:r>
          <w:rPr>
            <w:color w:val="0000ff"/>
            <w:u w:val="single"/>
          </w:rPr>
          <w:t>http://edu.manew.com/course/96</w:t>
        </w:r>
      </w:hyperlink>
    </w:p>
    <w:p>
      <w:pPr/>
      <w:bookmarkStart w:name="3265-1647662159712" w:id="9"/>
      <w:bookmarkEnd w:id="9"/>
      <w:r>
        <w:rPr/>
        <w:t>Unity官方;</w:t>
      </w:r>
      <w:hyperlink r:id="rId10">
        <w:r>
          <w:rPr>
            <w:color w:val="003884"/>
            <w:u w:val="single"/>
          </w:rPr>
          <w:t>http://docs.unity3d.com/Manual/SL-ShaderPrograms.html</w:t>
        </w:r>
      </w:hyperlink>
    </w:p>
    <w:p>
      <w:pPr/>
      <w:bookmarkStart w:name="7330-1647662159717" w:id="10"/>
      <w:bookmarkEnd w:id="10"/>
    </w:p>
    <w:p>
      <w:pPr/>
      <w:bookmarkStart w:name="8124-1647662159717" w:id="11"/>
      <w:bookmarkEnd w:id="11"/>
      <w:r>
        <w:rPr/>
        <w:t>一、固定着色器——剔除和测试</w:t>
      </w:r>
    </w:p>
    <w:p>
      <w:pPr/>
      <w:bookmarkStart w:name="4636-1647662159717" w:id="12"/>
      <w:bookmarkEnd w:id="12"/>
    </w:p>
    <w:p>
      <w:pPr/>
      <w:bookmarkStart w:name="6445-1647662159719" w:id="13"/>
      <w:bookmarkEnd w:id="13"/>
      <w:r>
        <w:rPr>
          <w:b w:val="true"/>
          <w:i w:val="true"/>
          <w:sz w:val="24"/>
        </w:rPr>
        <w:t>以下是渲染管线中</w:t>
      </w:r>
      <w:r>
        <w:rPr>
          <w:b w:val="true"/>
          <w:i w:val="true"/>
          <w:color w:val="ff0000"/>
          <w:sz w:val="24"/>
        </w:rPr>
        <w:t>Shader渲染</w:t>
      </w:r>
      <w:r>
        <w:rPr>
          <w:b w:val="true"/>
          <w:i w:val="true"/>
          <w:sz w:val="24"/>
        </w:rPr>
        <w:t>的大致流程</w:t>
      </w:r>
    </w:p>
    <w:p>
      <w:pPr/>
      <w:bookmarkStart w:name="7343-1647662159720" w:id="14"/>
      <w:bookmarkEnd w:id="14"/>
      <w:r>
        <w:drawing>
          <wp:inline distT="0" distR="0" distB="0" distL="0">
            <wp:extent cx="5267325" cy="1712224"/>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11"/>
                    <a:stretch>
                      <a:fillRect/>
                    </a:stretch>
                  </pic:blipFill>
                  <pic:spPr>
                    <a:xfrm>
                      <a:off x="0" y="0"/>
                      <a:ext cx="5267325" cy="1712224"/>
                    </a:xfrm>
                    <a:prstGeom prst="rect">
                      <a:avLst/>
                    </a:prstGeom>
                  </pic:spPr>
                </pic:pic>
              </a:graphicData>
            </a:graphic>
          </wp:inline>
        </w:drawing>
      </w:r>
    </w:p>
    <w:p>
      <w:pPr/>
      <w:bookmarkStart w:name="6020-1647662159721" w:id="15"/>
      <w:bookmarkEnd w:id="15"/>
    </w:p>
    <w:p>
      <w:pPr/>
      <w:bookmarkStart w:name="2676-1647662159722" w:id="16"/>
      <w:bookmarkEnd w:id="16"/>
      <w:r>
        <w:rPr>
          <w:b w:val="true"/>
          <w:color w:val="ff0000"/>
          <w:highlight w:val="white"/>
        </w:rPr>
        <w:t>· </w:t>
      </w:r>
      <w:r>
        <w:rPr>
          <w:b w:val="true"/>
          <w:color w:val="ff0000"/>
        </w:rPr>
        <w:t>剔除（Culling）</w:t>
      </w:r>
      <w:r>
        <w:rPr/>
        <w:t>：将被挡住或者视野以外的不可见的物体，根据优化需求，可以选择不绘制，以节省资源。</w:t>
      </w:r>
    </w:p>
    <w:p>
      <w:pPr/>
      <w:bookmarkStart w:name="9383-1647662159723" w:id="17"/>
      <w:bookmarkEnd w:id="17"/>
    </w:p>
    <w:p>
      <w:pPr/>
      <w:bookmarkStart w:name="6710-1647662159724" w:id="18"/>
      <w:bookmarkEnd w:id="18"/>
      <w:r>
        <w:rPr>
          <w:b w:val="true"/>
          <w:color w:val="ff0000"/>
          <w:highlight w:val="white"/>
        </w:rPr>
        <w:t>· </w:t>
      </w:r>
      <w:r>
        <w:rPr>
          <w:b w:val="true"/>
          <w:color w:val="ff0000"/>
        </w:rPr>
        <w:t>深度测试（Depth Testing）</w:t>
      </w:r>
      <w:r>
        <w:rPr/>
        <w:t>: 多个物体的遮挡，离相机的Z轴方向的距离大小</w:t>
      </w:r>
    </w:p>
    <w:p>
      <w:pPr/>
      <w:bookmarkStart w:name="5629-1647662159724" w:id="19"/>
      <w:bookmarkEnd w:id="19"/>
    </w:p>
    <w:p>
      <w:pPr/>
      <w:bookmarkStart w:name="9776-1647662159724" w:id="20"/>
      <w:bookmarkEnd w:id="20"/>
      <w:r>
        <w:rPr>
          <w:b w:val="true"/>
        </w:rPr>
        <w:t>剔除和深度测试的一些关键词：</w:t>
      </w:r>
    </w:p>
    <w:p>
      <w:pPr/>
      <w:bookmarkStart w:name="6679-1647662159725" w:id="21"/>
      <w:bookmarkEnd w:id="21"/>
      <w:r>
        <w:rPr>
          <w:b w:val="true"/>
        </w:rPr>
        <w:t>· Cull Back / Front / Off</w:t>
      </w:r>
    </w:p>
    <w:p>
      <w:pPr>
        <w:numPr>
          <w:ilvl w:val="0"/>
          <w:numId w:val="1"/>
        </w:numPr>
      </w:pPr>
      <w:bookmarkStart w:name="6494-1647662159726" w:id="22"/>
      <w:bookmarkEnd w:id="22"/>
      <w:r>
        <w:rPr>
          <w:highlight w:val="white"/>
        </w:rPr>
        <w:t>Cull Back—— 不绘制背离观察者的几何面</w:t>
      </w:r>
    </w:p>
    <w:p>
      <w:pPr>
        <w:numPr>
          <w:ilvl w:val="0"/>
          <w:numId w:val="1"/>
        </w:numPr>
      </w:pPr>
      <w:bookmarkStart w:name="7873-1647662159728" w:id="23"/>
      <w:bookmarkEnd w:id="23"/>
      <w:r>
        <w:rPr>
          <w:highlight w:val="white"/>
        </w:rPr>
        <w:t>Cull Front—— 不绘制面向观察者的几何面，用于由内自外的旋转对象</w:t>
      </w:r>
    </w:p>
    <w:p>
      <w:pPr>
        <w:numPr>
          <w:ilvl w:val="0"/>
          <w:numId w:val="1"/>
        </w:numPr>
      </w:pPr>
      <w:bookmarkStart w:name="5470-1647662159730" w:id="24"/>
      <w:bookmarkEnd w:id="24"/>
      <w:r>
        <w:rPr>
          <w:highlight w:val="white"/>
        </w:rPr>
        <w:t>Cull Off —— 显示所有面。用于特殊效果。</w:t>
      </w:r>
    </w:p>
    <w:p>
      <w:pPr/>
      <w:bookmarkStart w:name="2684-1647662159730" w:id="25"/>
      <w:bookmarkEnd w:id="25"/>
      <w:r>
        <w:rPr>
          <w:b w:val="true"/>
        </w:rPr>
        <w:t>· ZWrite On /Off </w:t>
      </w:r>
    </w:p>
    <w:p>
      <w:pPr/>
      <w:bookmarkStart w:name="7931-1647662159731" w:id="26"/>
      <w:bookmarkEnd w:id="26"/>
      <w:r>
        <w:rPr>
          <w:b w:val="true"/>
        </w:rPr>
        <w:t>       (是否和深度缓冲区内的深度值做比较)</w:t>
      </w:r>
    </w:p>
    <w:p>
      <w:pPr/>
      <w:bookmarkStart w:name="3051-1647662159731" w:id="27"/>
      <w:bookmarkEnd w:id="27"/>
      <w:r>
        <w:rPr>
          <w:b w:val="true"/>
          <w:highlight w:val="white"/>
        </w:rPr>
        <w:t>       用于控制是否将来之对象的像素写入深度缓冲（默认开启），</w:t>
      </w:r>
    </w:p>
    <w:p>
      <w:pPr/>
      <w:bookmarkStart w:name="7264-1647662159734" w:id="28"/>
      <w:bookmarkEnd w:id="28"/>
      <w:r>
        <w:rPr>
          <w:b w:val="true"/>
          <w:highlight w:val="white"/>
        </w:rPr>
        <w:t>       如果需要绘制纯色物体，便将此项打开，也就是写上ZWrite On。</w:t>
      </w:r>
    </w:p>
    <w:p>
      <w:pPr/>
      <w:bookmarkStart w:name="7911-1647662159737" w:id="29"/>
      <w:bookmarkEnd w:id="29"/>
      <w:r>
        <w:rPr>
          <w:b w:val="true"/>
          <w:highlight w:val="white"/>
        </w:rPr>
        <w:t>       如果要绘制半透明效果，关闭深度缓冲，则用ZWrite Off。</w:t>
      </w:r>
    </w:p>
    <w:p>
      <w:pPr/>
      <w:bookmarkStart w:name="6332-1647662159742" w:id="30"/>
      <w:bookmarkEnd w:id="30"/>
      <w:r>
        <w:rPr>
          <w:b w:val="true"/>
        </w:rPr>
        <w:t>· ZTest Less/ Greater / LEqual / GEqual / Equal / NotEqual /Always   </w:t>
      </w:r>
    </w:p>
    <w:p>
      <w:pPr/>
      <w:bookmarkStart w:name="2245-1647662159744" w:id="31"/>
      <w:bookmarkEnd w:id="31"/>
      <w:r>
        <w:rPr>
          <w:rFonts w:ascii="Arial" w:hAnsi="Arial" w:cs="Arial" w:eastAsia="Arial"/>
          <w:highlight w:val="white"/>
        </w:rPr>
        <w:t>       用于控制深度测试如何执行。</w:t>
      </w:r>
    </w:p>
    <w:p>
      <w:pPr/>
      <w:bookmarkStart w:name="2011-1647662159745" w:id="32"/>
      <w:bookmarkEnd w:id="32"/>
      <w:r>
        <w:rPr>
          <w:rFonts w:ascii="Arial" w:hAnsi="Arial" w:cs="Arial" w:eastAsia="Arial"/>
          <w:highlight w:val="white"/>
        </w:rPr>
        <w:t>        缺省值是LEqual （绘制和存在的对象一致或是在其中的对象；隐藏其背后的对象）</w:t>
      </w:r>
    </w:p>
    <w:tbl>
      <w:tblPr>
        <w:tblW w:w="0" w:type="auto"/>
        <w:tblBorders>
          <w:top w:val="single"/>
          <w:left w:val="single"/>
          <w:bottom w:val="single"/>
          <w:right w:val="single"/>
          <w:insideH w:val="single"/>
          <w:insideV w:val="single"/>
        </w:tblBorders>
      </w:tblPr>
      <w:tblGrid>
        <w:gridCol w:w="1060"/>
        <w:gridCol w:w="1060"/>
      </w:tblGrid>
      <w:tr>
        <w:trPr>
          <w:trHeight w:val="600"/>
        </w:trPr>
        <w:tc>
          <w:tcPr>
            <w:tcW w:w="1060"/>
            <w:shd w:color="auto" w:val="clear" w:fill=""/>
            <w:vAlign w:val="center"/>
          </w:tcPr>
          <w:p/>
        </w:tc>
      </w:tr>
    </w:tbl>
    <w:p>
      <w:pPr/>
      <w:bookmarkStart w:name="9854-1647662159783" w:id="33"/>
      <w:bookmarkEnd w:id="33"/>
      <w:r>
        <w:rPr>
          <w:b w:val="true"/>
        </w:rPr>
        <w:t>    </w:t>
      </w:r>
    </w:p>
    <w:p>
      <w:pPr/>
      <w:bookmarkStart w:name="2478-1647662159784" w:id="34"/>
      <w:bookmarkEnd w:id="34"/>
      <w:r>
        <w:rPr>
          <w:b w:val="true"/>
        </w:rPr>
        <w:t>· Offset Factor , Units</w:t>
      </w:r>
    </w:p>
    <w:p>
      <w:pPr/>
      <w:bookmarkStart w:name="1170-1647662159785" w:id="35"/>
      <w:bookmarkEnd w:id="35"/>
      <w:r>
        <w:rPr>
          <w:b w:val="true"/>
        </w:rPr>
        <w:t>     </w:t>
      </w:r>
      <w:r>
        <w:rPr/>
        <w:t>此语句用两个参数（Facto和Units）来定义深度偏移。</w:t>
      </w:r>
    </w:p>
    <w:p>
      <w:pPr>
        <w:numPr>
          <w:ilvl w:val="0"/>
          <w:numId w:val="2"/>
        </w:numPr>
      </w:pPr>
      <w:bookmarkStart w:name="5190-1647662159786" w:id="36"/>
      <w:bookmarkEnd w:id="36"/>
      <w:r>
        <w:rPr>
          <w:highlight w:val="white"/>
        </w:rPr>
        <w:t>Factor参数表示 Z缩放的最大斜率的值。</w:t>
      </w:r>
    </w:p>
    <w:p>
      <w:pPr>
        <w:numPr>
          <w:ilvl w:val="0"/>
          <w:numId w:val="2"/>
        </w:numPr>
      </w:pPr>
      <w:bookmarkStart w:name="7810-1647662159787" w:id="37"/>
      <w:bookmarkEnd w:id="37"/>
      <w:r>
        <w:rPr>
          <w:highlight w:val="white"/>
        </w:rPr>
        <w:t>Units参数表示可分辨的最小深度缓冲区的值。</w:t>
      </w:r>
    </w:p>
    <w:p>
      <w:pPr/>
      <w:bookmarkStart w:name="4790-1647662159789" w:id="38"/>
      <w:bookmarkEnd w:id="38"/>
      <w:r>
        <w:rPr>
          <w:highlight w:val="white"/>
        </w:rPr>
        <w:t>于是，我们就可以</w:t>
      </w:r>
      <w:r>
        <w:rPr>
          <w:color w:val="ff0000"/>
          <w:highlight w:val="white"/>
        </w:rPr>
        <w:t>强制使位于同一位置上的两个集合体中的一个几何体绘制在另一个的上层</w:t>
      </w:r>
      <w:r>
        <w:rPr>
          <w:highlight w:val="white"/>
        </w:rPr>
        <w:t>。例如偏移量Offset 设为0, -1（即Factor=0, Units=-1）的值使得靠近摄像机的几何体忽略几何体的斜率，而偏移量为-1,-1（即Factor =-1, Units=-1）时，则会让几何体偏移一个微小的角度，让观察使看起来更近些。</w:t>
      </w:r>
    </w:p>
    <w:p>
      <w:pPr/>
      <w:bookmarkStart w:name="2915-1647662159795" w:id="39"/>
      <w:bookmarkEnd w:id="39"/>
    </w:p>
    <w:p>
      <w:pPr/>
      <w:bookmarkStart w:name="9252-1647662159796" w:id="40"/>
      <w:bookmarkEnd w:id="40"/>
      <w:r>
        <w:rPr>
          <w:b w:val="true"/>
          <w:color w:val="ff0000"/>
          <w:highlight w:val="white"/>
        </w:rPr>
        <w:t>· </w:t>
      </w:r>
      <w:r>
        <w:rPr>
          <w:b w:val="true"/>
          <w:color w:val="ff0000"/>
        </w:rPr>
        <w:t>透明度测试（Alpha Testing）</w:t>
      </w:r>
      <w:r>
        <w:rPr/>
        <w:t>: 在unity中是阻止像素被写到屏幕的最后机会；</w:t>
      </w:r>
    </w:p>
    <w:p>
      <w:pPr/>
      <w:bookmarkStart w:name="6095-1647662159796" w:id="41"/>
      <w:bookmarkEnd w:id="41"/>
      <w:r>
        <w:rPr/>
        <w:t>       在片元计算出最终需要渲染的颜色之后，可以通过将颜色的透明度和一个固定值进行比较，如果比较失败，则该像素不会显示输出。</w:t>
      </w:r>
    </w:p>
    <w:p>
      <w:pPr/>
      <w:bookmarkStart w:name="1074-1647662159797" w:id="42"/>
      <w:bookmarkEnd w:id="42"/>
      <w:r>
        <w:rPr/>
        <w:t>      </w:t>
      </w:r>
      <w:r>
        <w:rPr>
          <w:highlight w:val="white"/>
        </w:rPr>
        <w:t>Alpha测试在渲染凹形物体的透明部分时非常有用。显卡上有着每个像素写到屏幕上的深度记录。如果一个新的像素比原来的像素的深度深，那么新的像素就不会被写到屏幕中。</w:t>
      </w:r>
    </w:p>
    <w:p>
      <w:pPr/>
      <w:bookmarkStart w:name="8449-1647662159799" w:id="43"/>
      <w:bookmarkEnd w:id="43"/>
    </w:p>
    <w:p>
      <w:pPr/>
      <w:bookmarkStart w:name="4077-1647662159800" w:id="44"/>
      <w:bookmarkEnd w:id="44"/>
    </w:p>
    <w:p>
      <w:pPr/>
      <w:bookmarkStart w:name="3124-1647662159800" w:id="45"/>
      <w:bookmarkEnd w:id="45"/>
      <w:r>
        <w:rPr>
          <w:b w:val="true"/>
          <w:highlight w:val="white"/>
        </w:rPr>
        <w:t> 透明度测试的一些关键词：</w:t>
      </w:r>
    </w:p>
    <w:p>
      <w:pPr/>
      <w:bookmarkStart w:name="2586-1647662159801" w:id="46"/>
      <w:bookmarkEnd w:id="46"/>
    </w:p>
    <w:p>
      <w:pPr/>
      <w:bookmarkStart w:name="1811-1647662159801" w:id="47"/>
      <w:bookmarkEnd w:id="47"/>
      <w:r>
        <w:rPr>
          <w:b w:val="true"/>
          <w:highlight w:val="white"/>
        </w:rPr>
        <w:t>· AlphaTest Off</w:t>
      </w:r>
      <w:r>
        <w:rPr>
          <w:b w:val="true"/>
          <w:color w:val="ff0000"/>
          <w:highlight w:val="white"/>
        </w:rPr>
        <w:t>用于渲染所有像素（默认缺省）</w:t>
      </w:r>
    </w:p>
    <w:p>
      <w:pPr/>
      <w:bookmarkStart w:name="1396-1647662159803" w:id="48"/>
      <w:bookmarkEnd w:id="48"/>
      <w:r>
        <w:rPr>
          <w:b w:val="true"/>
          <w:highlight w:val="white"/>
        </w:rPr>
        <w:t>· AlphaTest comparison AlphaValue</w:t>
      </w:r>
    </w:p>
    <w:p>
      <w:pPr/>
      <w:bookmarkStart w:name="1633-1647662159804" w:id="49"/>
      <w:bookmarkEnd w:id="49"/>
      <w:r>
        <w:rPr>
          <w:highlight w:val="white"/>
        </w:rPr>
        <w:t>   用于设定透明度测试只渲染在某一确定范围内的透明度值的像素。其中的comparison取值为下表之一：</w:t>
      </w:r>
    </w:p>
    <w:p>
      <w:pPr/>
      <w:bookmarkStart w:name="3185-1647662159806" w:id="50"/>
      <w:bookmarkEnd w:id="50"/>
      <w:r>
        <w:rPr>
          <w:highlight w:val="white"/>
        </w:rPr>
        <w:t>   而AlphaValue为一个</w:t>
      </w:r>
      <w:r>
        <w:rPr>
          <w:color w:val="ff0000"/>
          <w:highlight w:val="white"/>
        </w:rPr>
        <w:t>范围在0到1之间的浮点值</w:t>
      </w:r>
      <w:r>
        <w:rPr>
          <w:highlight w:val="white"/>
        </w:rPr>
        <w:t>。也可以是一个指向</w:t>
      </w:r>
      <w:r>
        <w:rPr>
          <w:color w:val="ff0000"/>
          <w:highlight w:val="white"/>
        </w:rPr>
        <w:t>浮点属性</w:t>
      </w:r>
      <w:r>
        <w:rPr>
          <w:highlight w:val="white"/>
        </w:rPr>
        <w:t>或是一个</w:t>
      </w:r>
      <w:r>
        <w:rPr>
          <w:color w:val="ff0000"/>
          <w:highlight w:val="white"/>
        </w:rPr>
        <w:t>范围属性</w:t>
      </w:r>
      <w:r>
        <w:rPr>
          <w:highlight w:val="white"/>
        </w:rPr>
        <w:t>，在后一种情况下需要使用标准的方括号写法标注索引名字，如(   </w:t>
      </w:r>
      <w:r>
        <w:rPr>
          <w:b w:val="true"/>
          <w:color w:val="ff0000"/>
          <w:highlight w:val="white"/>
        </w:rPr>
        <w:t>[变量名]  </w:t>
      </w:r>
      <w:r>
        <w:rPr>
          <w:highlight w:val="white"/>
        </w:rPr>
        <w:t>).</w:t>
      </w:r>
    </w:p>
    <w:tbl>
      <w:tblPr>
        <w:tblW w:w="0" w:type="auto"/>
        <w:tblBorders>
          <w:top w:val="single"/>
          <w:left w:val="single"/>
          <w:bottom w:val="single"/>
          <w:right w:val="single"/>
          <w:insideH w:val="single"/>
          <w:insideV w:val="single"/>
        </w:tblBorders>
      </w:tblPr>
      <w:tblGrid>
        <w:gridCol w:w="1060"/>
        <w:gridCol w:w="1060"/>
      </w:tblGrid>
      <w:tr>
        <w:trPr>
          <w:trHeight w:val="600"/>
        </w:trPr>
        <w:tc>
          <w:tcPr>
            <w:tcW w:w="1060"/>
            <w:vAlign w:val="center"/>
          </w:tcPr>
          <w:p>
            <w:pPr/>
            <w:r>
              <w:rPr>
                <w:b w:val="true"/>
              </w:rPr>
              <w:t>Greater</w:t>
            </w:r>
          </w:p>
        </w:tc>
        <w:tc>
          <w:tcPr>
            <w:tcW w:w="1060"/>
            <w:vAlign w:val="center"/>
          </w:tcPr>
          <w:p>
            <w:pPr/>
            <w:r>
              <w:rPr/>
              <w:t>Only render pixels whose alpha is greater than </w:t>
            </w:r>
            <w:r>
              <w:rPr>
                <w:i w:val="true"/>
              </w:rPr>
              <w:t>AlphaValue</w:t>
            </w:r>
            <w:r>
              <w:rPr/>
              <w:t>. 大于</w:t>
            </w:r>
          </w:p>
        </w:tc>
      </w:tr>
      <w:tr>
        <w:trPr>
          <w:trHeight w:val="600"/>
        </w:trPr>
        <w:tc>
          <w:tcPr>
            <w:tcW w:w="1060"/>
            <w:vAlign w:val="center"/>
          </w:tcPr>
          <w:p>
            <w:pPr/>
            <w:r>
              <w:rPr>
                <w:b w:val="true"/>
              </w:rPr>
              <w:t>GEqual</w:t>
            </w:r>
          </w:p>
        </w:tc>
        <w:tc>
          <w:tcPr>
            <w:tcW w:w="1060"/>
            <w:vAlign w:val="center"/>
          </w:tcPr>
          <w:p>
            <w:pPr/>
            <w:r>
              <w:rPr/>
              <w:t>Only render pixels whose alpha is greater than or equal to </w:t>
            </w:r>
            <w:r>
              <w:rPr>
                <w:i w:val="true"/>
              </w:rPr>
              <w:t>AlphaValue</w:t>
            </w:r>
            <w:r>
              <w:rPr/>
              <w:t>. 大于等于</w:t>
            </w:r>
          </w:p>
        </w:tc>
      </w:tr>
      <w:tr>
        <w:trPr>
          <w:trHeight w:val="600"/>
        </w:trPr>
        <w:tc>
          <w:tcPr>
            <w:tcW w:w="1060"/>
            <w:vAlign w:val="center"/>
          </w:tcPr>
          <w:p>
            <w:pPr/>
            <w:r>
              <w:rPr>
                <w:b w:val="true"/>
              </w:rPr>
              <w:t>Less</w:t>
            </w:r>
          </w:p>
        </w:tc>
        <w:tc>
          <w:tcPr>
            <w:tcW w:w="1060"/>
            <w:vAlign w:val="center"/>
          </w:tcPr>
          <w:p>
            <w:pPr/>
            <w:r>
              <w:rPr/>
              <w:t>Only render pixels whose alpha value is less than </w:t>
            </w:r>
            <w:r>
              <w:rPr>
                <w:i w:val="true"/>
              </w:rPr>
              <w:t>AlphaValue</w:t>
            </w:r>
            <w:r>
              <w:rPr/>
              <w:t>. 小于</w:t>
            </w:r>
          </w:p>
        </w:tc>
      </w:tr>
      <w:tr>
        <w:trPr>
          <w:trHeight w:val="600"/>
        </w:trPr>
        <w:tc>
          <w:tcPr>
            <w:tcW w:w="1060"/>
            <w:vAlign w:val="center"/>
          </w:tcPr>
          <w:p>
            <w:pPr/>
            <w:r>
              <w:rPr>
                <w:b w:val="true"/>
              </w:rPr>
              <w:t>LEqual</w:t>
            </w:r>
          </w:p>
        </w:tc>
        <w:tc>
          <w:tcPr>
            <w:tcW w:w="1060"/>
            <w:vAlign w:val="center"/>
          </w:tcPr>
          <w:p>
            <w:pPr/>
            <w:r>
              <w:rPr/>
              <w:t>Only render pixels whose alpha value is less than or equal to from </w:t>
            </w:r>
            <w:r>
              <w:rPr>
                <w:i w:val="true"/>
              </w:rPr>
              <w:t>AlphaValue</w:t>
            </w:r>
            <w:r>
              <w:rPr/>
              <w:t>. 小于等于</w:t>
            </w:r>
          </w:p>
        </w:tc>
      </w:tr>
      <w:tr>
        <w:trPr>
          <w:trHeight w:val="600"/>
        </w:trPr>
        <w:tc>
          <w:tcPr>
            <w:tcW w:w="1060"/>
            <w:vAlign w:val="center"/>
          </w:tcPr>
          <w:p>
            <w:pPr/>
            <w:r>
              <w:rPr>
                <w:b w:val="true"/>
              </w:rPr>
              <w:t>Equal</w:t>
            </w:r>
          </w:p>
        </w:tc>
        <w:tc>
          <w:tcPr>
            <w:tcW w:w="1060"/>
            <w:vAlign w:val="center"/>
          </w:tcPr>
          <w:p>
            <w:pPr/>
            <w:r>
              <w:rPr/>
              <w:t>Only render pixels whose alpha value equals </w:t>
            </w:r>
            <w:r>
              <w:rPr>
                <w:i w:val="true"/>
              </w:rPr>
              <w:t>AlphaValue</w:t>
            </w:r>
            <w:r>
              <w:rPr/>
              <w:t>. 等于</w:t>
            </w:r>
          </w:p>
        </w:tc>
      </w:tr>
      <w:tr>
        <w:trPr>
          <w:trHeight w:val="600"/>
        </w:trPr>
        <w:tc>
          <w:tcPr>
            <w:tcW w:w="1060"/>
            <w:vAlign w:val="center"/>
          </w:tcPr>
          <w:p>
            <w:pPr/>
            <w:r>
              <w:rPr>
                <w:b w:val="true"/>
              </w:rPr>
              <w:t>NotEqual</w:t>
            </w:r>
          </w:p>
        </w:tc>
        <w:tc>
          <w:tcPr>
            <w:tcW w:w="1060"/>
            <w:vAlign w:val="center"/>
          </w:tcPr>
          <w:p>
            <w:pPr/>
            <w:r>
              <w:rPr/>
              <w:t>Only render pixels whose alpha value differs from </w:t>
            </w:r>
            <w:r>
              <w:rPr>
                <w:i w:val="true"/>
              </w:rPr>
              <w:t>AlphaValue</w:t>
            </w:r>
            <w:r>
              <w:rPr/>
              <w:t>. 不等于</w:t>
            </w:r>
          </w:p>
        </w:tc>
      </w:tr>
      <w:tr>
        <w:trPr>
          <w:trHeight w:val="600"/>
        </w:trPr>
        <w:tc>
          <w:tcPr>
            <w:tcW w:w="1060"/>
            <w:vAlign w:val="center"/>
          </w:tcPr>
          <w:p>
            <w:pPr/>
            <w:r>
              <w:rPr>
                <w:b w:val="true"/>
              </w:rPr>
              <w:t>Always</w:t>
            </w:r>
          </w:p>
        </w:tc>
        <w:tc>
          <w:tcPr>
            <w:tcW w:w="1060"/>
            <w:vAlign w:val="center"/>
          </w:tcPr>
          <w:p>
            <w:pPr/>
            <w:r>
              <w:rPr/>
              <w:t>Render all pixels. This is functionally equivalent to </w:t>
            </w:r>
            <w:r>
              <w:rPr>
                <w:i w:val="true"/>
              </w:rPr>
              <w:t>AlphaTest Off</w:t>
            </w:r>
            <w:r>
              <w:rPr/>
              <w:t>. 
渲染所有像素，</w:t>
            </w:r>
            <w:r>
              <w:rPr>
                <w:b w:val="true"/>
                <w:color w:val="ff0000"/>
              </w:rPr>
              <w:t>等于关闭透明度测试AlphaTest Off</w:t>
            </w:r>
          </w:p>
        </w:tc>
      </w:tr>
      <w:tr>
        <w:trPr>
          <w:trHeight w:val="600"/>
        </w:trPr>
        <w:tc>
          <w:tcPr>
            <w:tcW w:w="1060"/>
            <w:vAlign w:val="center"/>
          </w:tcPr>
          <w:p>
            <w:pPr/>
            <w:r>
              <w:rPr>
                <w:b w:val="true"/>
              </w:rPr>
              <w:t>Never</w:t>
            </w:r>
          </w:p>
        </w:tc>
        <w:tc>
          <w:tcPr>
            <w:tcW w:w="1060"/>
            <w:vAlign w:val="center"/>
          </w:tcPr>
          <w:p>
            <w:pPr/>
            <w:r>
              <w:rPr/>
              <w:t>Don't render any pixels. </w:t>
            </w:r>
            <w:r>
              <w:rPr>
                <w:b w:val="true"/>
              </w:rPr>
              <w:t>不渲染任何像素</w:t>
            </w:r>
          </w:p>
        </w:tc>
      </w:tr>
    </w:tbl>
    <w:p>
      <w:pPr/>
      <w:bookmarkStart w:name="5520-1647662159823" w:id="51"/>
      <w:bookmarkEnd w:id="51"/>
    </w:p>
    <w:p>
      <w:pPr/>
      <w:bookmarkStart w:name="8890-1647662159823" w:id="52"/>
      <w:bookmarkEnd w:id="52"/>
    </w:p>
    <w:p>
      <w:pPr/>
      <w:bookmarkStart w:name="2584-1647662159824" w:id="53"/>
      <w:bookmarkEnd w:id="53"/>
      <w:r>
        <w:rPr>
          <w:b w:val="true"/>
          <w:color w:val="ff0000"/>
          <w:highlight w:val="white"/>
        </w:rPr>
        <w:t>· </w:t>
      </w:r>
      <w:r>
        <w:rPr>
          <w:b w:val="true"/>
          <w:color w:val="ff0000"/>
        </w:rPr>
        <w:t>基本雾效（Fog）</w:t>
      </w:r>
    </w:p>
    <w:p>
      <w:pPr/>
      <w:bookmarkStart w:name="8064-1647662159824" w:id="54"/>
      <w:bookmarkEnd w:id="54"/>
      <w:r>
        <w:rPr/>
        <w:t>雾效（Fog）参数用于控制雾相关的渲染</w:t>
      </w:r>
    </w:p>
    <w:p>
      <w:pPr/>
      <w:bookmarkStart w:name="4491-1647662159825" w:id="55"/>
      <w:bookmarkEnd w:id="55"/>
      <w:r>
        <w:rPr>
          <w:highlight w:val="white"/>
        </w:rPr>
        <w:t>在计算机图形学中，雾化是通过混合已生成的像素的颜色和基于到镜头的距离来确定的最终的颜色来完成的。</w:t>
      </w:r>
      <w:r>
        <w:rPr>
          <w:color w:val="ff0000"/>
          <w:highlight w:val="white"/>
        </w:rPr>
        <w:t>雾化不会改变已经混合的像素的透明度值，只是改变RGB值。</w:t>
      </w:r>
    </w:p>
    <w:p>
      <w:pPr/>
      <w:bookmarkStart w:name="4063-1647662159826" w:id="56"/>
      <w:bookmarkEnd w:id="56"/>
      <w:r>
        <w:rPr>
          <w:highlight w:val="white"/>
        </w:rPr>
        <w:t>Unity中的缺省雾设定是基于Edit-&gt;RenderSettings中的设置的，且雾模式既可以是</w:t>
      </w:r>
      <w:r>
        <w:rPr>
          <w:color w:val="ff0000"/>
          <w:highlight w:val="white"/>
        </w:rPr>
        <w:t>Exp2</w:t>
      </w:r>
      <w:r>
        <w:rPr>
          <w:highlight w:val="white"/>
        </w:rPr>
        <w:t>也可以是关闭；密度和颜色完全取自设定。</w:t>
      </w:r>
    </w:p>
    <w:p>
      <w:pPr/>
      <w:bookmarkStart w:name="8828-1647662159828" w:id="57"/>
      <w:bookmarkEnd w:id="57"/>
      <w:r>
        <w:rPr>
          <w:rFonts w:ascii="Arial" w:hAnsi="Arial" w:cs="Arial" w:eastAsia="Arial"/>
          <w:highlight w:val="white"/>
        </w:rPr>
        <w:t>注意如果使用了片段着色器的话，着色器中的雾设定仍然是有效的。如果平台没有对固定管线的雾功能支持，Unity会实时补上着色器以支持需要的雾模式。</w:t>
      </w:r>
    </w:p>
    <w:p>
      <w:pPr/>
      <w:bookmarkStart w:name="3154-1647662159832" w:id="58"/>
      <w:bookmarkEnd w:id="58"/>
    </w:p>
    <w:p>
      <w:pPr/>
      <w:bookmarkStart w:name="4433-1647662159832" w:id="59"/>
      <w:bookmarkEnd w:id="59"/>
      <w:r>
        <w:rPr>
          <w:b w:val="true"/>
        </w:rPr>
        <w:t>雾效的一些关键词：</w:t>
      </w:r>
    </w:p>
    <w:p>
      <w:pPr/>
      <w:bookmarkStart w:name="4736-1647662159833" w:id="60"/>
      <w:bookmarkEnd w:id="60"/>
      <w:r>
        <w:rPr>
          <w:b w:val="true"/>
          <w:highlight w:val="white"/>
        </w:rPr>
        <w:t xml:space="preserve">· Fog { </w:t>
      </w:r>
      <w:r>
        <w:rPr>
          <w:b w:val="true"/>
          <w:i w:val="true"/>
          <w:highlight w:val="white"/>
        </w:rPr>
        <w:t>FogCommands</w:t>
      </w:r>
      <w:r>
        <w:rPr>
          <w:b w:val="true"/>
          <w:highlight w:val="white"/>
        </w:rPr>
        <w:t xml:space="preserve"> }</w:t>
      </w:r>
    </w:p>
    <w:p>
      <w:pPr/>
      <w:bookmarkStart w:name="2030-1647662159834" w:id="61"/>
      <w:bookmarkEnd w:id="61"/>
      <w:r>
        <w:rPr>
          <w:highlight w:val="white"/>
        </w:rPr>
        <w:t>  用于设定雾命令的内容</w:t>
      </w:r>
    </w:p>
    <w:p>
      <w:pPr/>
      <w:bookmarkStart w:name="8195-1647662159835" w:id="62"/>
      <w:bookmarkEnd w:id="62"/>
    </w:p>
    <w:p>
      <w:pPr/>
      <w:bookmarkStart w:name="2644-1647662159835" w:id="63"/>
      <w:bookmarkEnd w:id="63"/>
      <w:r>
        <w:rPr>
          <w:b w:val="true"/>
          <w:i w:val="true"/>
          <w:color w:val="ff0000"/>
          <w:highlight w:val="white"/>
        </w:rPr>
        <w:t>FogCommands</w:t>
      </w:r>
      <w:r>
        <w:rPr>
          <w:b w:val="true"/>
          <w:color w:val="ff0000"/>
          <w:highlight w:val="white"/>
        </w:rPr>
        <w:t> :</w:t>
      </w:r>
    </w:p>
    <w:p>
      <w:pPr/>
      <w:bookmarkStart w:name="2027-1647662159837" w:id="64"/>
      <w:bookmarkEnd w:id="64"/>
      <w:r>
        <w:rPr>
          <w:b w:val="true"/>
          <w:highlight w:val="white"/>
        </w:rPr>
        <w:t xml:space="preserve">· Mode </w:t>
      </w:r>
      <w:r>
        <w:rPr>
          <w:b w:val="true"/>
          <w:i w:val="true"/>
          <w:highlight w:val="white"/>
        </w:rPr>
        <w:t>Off / Global / Linear / Exp / Exp2</w:t>
      </w:r>
    </w:p>
    <w:p>
      <w:pPr/>
      <w:bookmarkStart w:name="3165-1647662159838" w:id="65"/>
      <w:bookmarkEnd w:id="65"/>
      <w:r>
        <w:rPr>
          <w:b w:val="true"/>
          <w:i w:val="true"/>
          <w:highlight w:val="white"/>
        </w:rPr>
        <w:t>   用于定义雾模式。缺省是全局的，依据雾在渲染设定中是否打开确定可从无变化到平方值</w:t>
      </w:r>
    </w:p>
    <w:p>
      <w:pPr/>
      <w:bookmarkStart w:name="1421-1647662159839" w:id="66"/>
      <w:bookmarkEnd w:id="66"/>
      <w:r>
        <w:rPr>
          <w:b w:val="true"/>
          <w:highlight w:val="white"/>
        </w:rPr>
        <w:t xml:space="preserve">· Color </w:t>
      </w:r>
      <w:r>
        <w:rPr>
          <w:b w:val="true"/>
          <w:i w:val="true"/>
          <w:highlight w:val="white"/>
        </w:rPr>
        <w:t>ColorValue</w:t>
      </w:r>
    </w:p>
    <w:p>
      <w:pPr/>
      <w:bookmarkStart w:name="5120-1647662159843" w:id="67"/>
      <w:bookmarkEnd w:id="67"/>
      <w:r>
        <w:rPr>
          <w:b w:val="true"/>
          <w:i w:val="true"/>
          <w:highlight w:val="white"/>
        </w:rPr>
        <w:t>    用于设定雾的颜色值</w:t>
      </w:r>
    </w:p>
    <w:p>
      <w:pPr/>
      <w:bookmarkStart w:name="7663-1647662159844" w:id="68"/>
      <w:bookmarkEnd w:id="68"/>
      <w:r>
        <w:rPr>
          <w:b w:val="true"/>
          <w:highlight w:val="white"/>
        </w:rPr>
        <w:t xml:space="preserve">· Density </w:t>
      </w:r>
      <w:r>
        <w:rPr>
          <w:b w:val="true"/>
          <w:i w:val="true"/>
          <w:highlight w:val="white"/>
        </w:rPr>
        <w:t>FloatValue</w:t>
      </w:r>
    </w:p>
    <w:p>
      <w:pPr/>
      <w:bookmarkStart w:name="1336-1647662159845" w:id="69"/>
      <w:bookmarkEnd w:id="69"/>
      <w:r>
        <w:rPr>
          <w:b w:val="true"/>
          <w:i w:val="true"/>
          <w:highlight w:val="white"/>
        </w:rPr>
        <w:t>    以指数的方式设定雾的密度</w:t>
      </w:r>
    </w:p>
    <w:p>
      <w:pPr/>
      <w:bookmarkStart w:name="7398-1647662159846" w:id="70"/>
      <w:bookmarkEnd w:id="70"/>
      <w:r>
        <w:rPr>
          <w:b w:val="true"/>
          <w:highlight w:val="white"/>
        </w:rPr>
        <w:t xml:space="preserve">· Range </w:t>
      </w:r>
      <w:r>
        <w:rPr>
          <w:b w:val="true"/>
          <w:i w:val="true"/>
          <w:highlight w:val="white"/>
        </w:rPr>
        <w:t>FloatValue,FloatValue</w:t>
      </w:r>
    </w:p>
    <w:p>
      <w:pPr/>
      <w:bookmarkStart w:name="4649-1647662159847" w:id="71"/>
      <w:bookmarkEnd w:id="71"/>
      <w:r>
        <w:rPr>
          <w:b w:val="true"/>
          <w:i w:val="true"/>
          <w:highlight w:val="white"/>
        </w:rPr>
        <w:t>    用于为linear类型的雾设定远近距离值</w:t>
      </w:r>
    </w:p>
    <w:p>
      <w:pPr/>
      <w:bookmarkStart w:name="2761-1647662159850" w:id="72"/>
      <w:bookmarkEnd w:id="72"/>
    </w:p>
    <w:p>
      <w:pPr/>
      <w:bookmarkStart w:name="6140-1647662159851" w:id="73"/>
      <w:bookmarkEnd w:id="73"/>
    </w:p>
    <w:p>
      <w:pPr/>
      <w:bookmarkStart w:name="5846-1647662159852" w:id="74"/>
      <w:bookmarkEnd w:id="74"/>
    </w:p>
    <w:p>
      <w:pPr/>
      <w:bookmarkStart w:name="7029-1647662159853" w:id="75"/>
      <w:bookmarkEnd w:id="75"/>
    </w:p>
    <w:p>
      <w:pPr/>
      <w:bookmarkStart w:name="8784-1647662159854" w:id="76"/>
      <w:bookmarkEnd w:id="76"/>
      <w:r>
        <w:rPr>
          <w:b w:val="true"/>
          <w:color w:val="ff0000"/>
          <w:highlight w:val="white"/>
        </w:rPr>
        <w:t>· 混合（Blend）: Shader渲染的最后一步</w:t>
      </w:r>
    </w:p>
    <w:p>
      <w:pPr/>
      <w:bookmarkStart w:name="8710-1647662159854" w:id="77"/>
      <w:bookmarkEnd w:id="77"/>
      <w:r>
        <w:rPr>
          <w:b w:val="true"/>
          <w:color w:val="ff0000"/>
        </w:rPr>
        <w:t>常用于制作透明物体、进行纹理混合</w:t>
      </w:r>
    </w:p>
    <w:p>
      <w:pPr/>
      <w:bookmarkStart w:name="2010-1647662159856" w:id="78"/>
      <w:bookmarkEnd w:id="78"/>
      <w:r>
        <w:drawing>
          <wp:inline distT="0" distR="0" distB="0" distL="0">
            <wp:extent cx="5267325" cy="1712224"/>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11"/>
                    <a:stretch>
                      <a:fillRect/>
                    </a:stretch>
                  </pic:blipFill>
                  <pic:spPr>
                    <a:xfrm>
                      <a:off x="0" y="0"/>
                      <a:ext cx="5267325" cy="1712224"/>
                    </a:xfrm>
                    <a:prstGeom prst="rect">
                      <a:avLst/>
                    </a:prstGeom>
                  </pic:spPr>
                </pic:pic>
              </a:graphicData>
            </a:graphic>
          </wp:inline>
        </w:drawing>
      </w:r>
    </w:p>
    <w:p>
      <w:pPr/>
      <w:bookmarkStart w:name="5032-1647662159856" w:id="79"/>
      <w:bookmarkEnd w:id="79"/>
    </w:p>
    <w:p>
      <w:pPr/>
      <w:bookmarkStart w:name="8785-1647662159857" w:id="80"/>
      <w:bookmarkEnd w:id="80"/>
      <w:r>
        <w:rPr>
          <w:highlight w:val="white"/>
        </w:rPr>
        <w:t>如上图所示，正被渲染的像素经过顶点光照、顶点着色器、剔除和深度测试，雾效、Alpha测试等一系列操作之后，最后一步便是</w:t>
      </w:r>
      <w:r>
        <w:rPr>
          <w:color w:val="ff0000"/>
          <w:highlight w:val="white"/>
        </w:rPr>
        <w:t>混合</w:t>
      </w:r>
      <w:r>
        <w:rPr>
          <w:highlight w:val="white"/>
        </w:rPr>
        <w:t>操作。这个时候计算结果即将被输出到帧缓冲中。而混合操作，就是管理如何将这些像素输出到帧缓存中的这样一个过程——是直接替换原来的，是一加一的混合，还是有Alpha参与的不等比地混合等等。</w:t>
      </w:r>
    </w:p>
    <w:p>
      <w:pPr/>
      <w:bookmarkStart w:name="5215-1647662159859" w:id="81"/>
      <w:bookmarkEnd w:id="81"/>
      <w:r>
        <w:rPr>
          <w:rFonts w:ascii="Arial" w:hAnsi="Arial" w:cs="Arial" w:eastAsia="Arial"/>
          <w:highlight w:val="white"/>
        </w:rPr>
        <w:t>混合操作有两个对象：源和目标，因此也有两个对应的因子，即源因子和目标因子（对应于Blend SrcFactor DstFactor操作）。</w:t>
      </w:r>
    </w:p>
    <w:p>
      <w:pPr/>
      <w:bookmarkStart w:name="7038-1647662159860" w:id="82"/>
      <w:bookmarkEnd w:id="82"/>
      <w:r>
        <w:rPr>
          <w:highlight w:val="white"/>
        </w:rPr>
        <w:t>而如果我们把RGB颜色通道和Alpha通道</w:t>
      </w:r>
      <w:r>
        <w:rPr>
          <w:color w:val="ff0000"/>
          <w:highlight w:val="white"/>
        </w:rPr>
        <w:t>分开来操作</w:t>
      </w:r>
      <w:r>
        <w:rPr>
          <w:highlight w:val="white"/>
        </w:rPr>
        <w:t>的话，混合就有了4个操作对象（对应于Blend SrcFactor DstFactor,SrcFactorA DstFactorA操作）。</w:t>
      </w:r>
    </w:p>
    <w:p>
      <w:pPr/>
      <w:bookmarkStart w:name="6250-1647662159863" w:id="83"/>
      <w:bookmarkEnd w:id="83"/>
    </w:p>
    <w:p>
      <w:pPr/>
      <w:bookmarkStart w:name="2000-1647662159863" w:id="84"/>
      <w:bookmarkEnd w:id="84"/>
      <w:r>
        <w:rPr>
          <w:b w:val="true"/>
          <w:highlight w:val="white"/>
        </w:rPr>
        <w:t>混合操作的关键词：</w:t>
      </w:r>
    </w:p>
    <w:p>
      <w:pPr>
        <w:ind w:left="420"/>
      </w:pPr>
      <w:bookmarkStart w:name="4318-1647662159864" w:id="85"/>
      <w:bookmarkEnd w:id="85"/>
      <w:r>
        <w:rPr>
          <w:rFonts w:ascii="Arial" w:hAnsi="Arial" w:cs="Arial" w:eastAsia="Arial"/>
          <w:b w:val="true"/>
          <w:sz w:val="28"/>
          <w:highlight w:val="white"/>
        </w:rPr>
        <w:t>Blend Off</w:t>
      </w:r>
    </w:p>
    <w:p>
      <w:pPr>
        <w:ind w:left="420"/>
      </w:pPr>
      <w:bookmarkStart w:name="3048-1647662159864" w:id="86"/>
      <w:bookmarkEnd w:id="86"/>
      <w:r>
        <w:rPr>
          <w:highlight w:val="white"/>
        </w:rPr>
        <w:t>Turn off blending 关闭混合</w:t>
      </w:r>
    </w:p>
    <w:p>
      <w:pPr>
        <w:ind w:left="420"/>
      </w:pPr>
      <w:bookmarkStart w:name="5468-1647662159865" w:id="87"/>
      <w:bookmarkEnd w:id="87"/>
      <w:r>
        <w:rPr>
          <w:rFonts w:ascii="Arial" w:hAnsi="Arial" w:cs="Arial" w:eastAsia="Arial"/>
          <w:b w:val="true"/>
          <w:sz w:val="28"/>
          <w:highlight w:val="white"/>
        </w:rPr>
        <w:t>Blend </w:t>
      </w:r>
      <w:r>
        <w:rPr>
          <w:rFonts w:ascii="Arial" w:hAnsi="Arial" w:cs="Arial" w:eastAsia="Arial"/>
          <w:b w:val="true"/>
          <w:i w:val="true"/>
          <w:sz w:val="28"/>
          <w:highlight w:val="white"/>
        </w:rPr>
        <w:t>SrcFactor DstFactor</w:t>
      </w:r>
    </w:p>
    <w:p>
      <w:pPr>
        <w:ind w:left="420"/>
      </w:pPr>
      <w:bookmarkStart w:name="2068-1647662159865" w:id="88"/>
      <w:bookmarkEnd w:id="88"/>
      <w:r>
        <w:rPr>
          <w:highlight w:val="white"/>
        </w:rPr>
        <w:t>基本的配置并启动混操作。</w:t>
      </w:r>
    </w:p>
    <w:p>
      <w:pPr>
        <w:ind w:left="420"/>
      </w:pPr>
      <w:bookmarkStart w:name="6230-1647662159866" w:id="89"/>
      <w:bookmarkEnd w:id="89"/>
      <w:r>
        <w:rPr>
          <w:color w:val="ff0000"/>
          <w:highlight w:val="white"/>
        </w:rPr>
        <w:t>对产生的颜色乘以SrcFactor.对 已存在于屏幕的颜色乘以DstFactor，并且两者将被叠加在一起。</w:t>
      </w:r>
    </w:p>
    <w:p>
      <w:pPr>
        <w:ind w:left="420"/>
      </w:pPr>
      <w:bookmarkStart w:name="5413-1647662159909" w:id="90"/>
      <w:bookmarkEnd w:id="90"/>
      <w:r>
        <w:rPr>
          <w:rFonts w:ascii="Arial" w:hAnsi="Arial" w:cs="Arial" w:eastAsia="Arial"/>
          <w:b w:val="true"/>
          <w:sz w:val="28"/>
          <w:highlight w:val="white"/>
        </w:rPr>
        <w:t>Blend</w:t>
      </w:r>
      <w:r>
        <w:rPr>
          <w:rFonts w:ascii="Arial" w:hAnsi="Arial" w:cs="Arial" w:eastAsia="Arial"/>
          <w:b w:val="true"/>
          <w:i w:val="true"/>
          <w:sz w:val="28"/>
          <w:highlight w:val="white"/>
        </w:rPr>
        <w:t> SrcFactor DstFactor, SrcFactorA DstFactorA</w:t>
      </w:r>
    </w:p>
    <w:p>
      <w:pPr>
        <w:ind w:left="420"/>
      </w:pPr>
      <w:bookmarkStart w:name="3016-1647662159910" w:id="91"/>
      <w:bookmarkEnd w:id="91"/>
      <w:r>
        <w:rPr>
          <w:highlight w:val="white"/>
        </w:rPr>
        <w:t>同上，但是使用不同的要素来混合alpha通道，也就是有了</w:t>
      </w:r>
      <w:r>
        <w:rPr>
          <w:color w:val="ff0000"/>
          <w:highlight w:val="white"/>
        </w:rPr>
        <w:t>4个操作对象</w:t>
      </w:r>
    </w:p>
    <w:p>
      <w:pPr>
        <w:ind w:left="420"/>
      </w:pPr>
      <w:bookmarkStart w:name="4613-1647662159911" w:id="92"/>
      <w:bookmarkEnd w:id="92"/>
      <w:r>
        <w:rPr>
          <w:rFonts w:ascii="Arial" w:hAnsi="Arial" w:cs="Arial" w:eastAsia="Arial"/>
          <w:b w:val="true"/>
          <w:sz w:val="28"/>
          <w:highlight w:val="white"/>
        </w:rPr>
        <w:t>BlendOp </w:t>
      </w:r>
      <w:r>
        <w:rPr>
          <w:rFonts w:ascii="Arial" w:hAnsi="Arial" w:cs="Arial" w:eastAsia="Arial"/>
          <w:b w:val="true"/>
          <w:i w:val="true"/>
          <w:sz w:val="28"/>
          <w:highlight w:val="white"/>
        </w:rPr>
        <w:t>Add </w:t>
      </w:r>
      <w:r>
        <w:rPr>
          <w:rFonts w:ascii="Arial" w:hAnsi="Arial" w:cs="Arial" w:eastAsia="Arial"/>
          <w:b w:val="true"/>
          <w:sz w:val="28"/>
          <w:highlight w:val="white"/>
        </w:rPr>
        <w:t>/</w:t>
      </w:r>
      <w:r>
        <w:rPr>
          <w:rFonts w:ascii="Arial" w:hAnsi="Arial" w:cs="Arial" w:eastAsia="Arial"/>
          <w:b w:val="true"/>
          <w:i w:val="true"/>
          <w:sz w:val="28"/>
          <w:highlight w:val="white"/>
        </w:rPr>
        <w:t>Min | Max | Sub | RevSub</w:t>
      </w:r>
    </w:p>
    <w:p>
      <w:pPr>
        <w:ind w:left="420"/>
      </w:pPr>
      <w:bookmarkStart w:name="3077-1647662159911" w:id="93"/>
      <w:bookmarkEnd w:id="93"/>
      <w:r>
        <w:rPr>
          <w:highlight w:val="white"/>
        </w:rPr>
        <w:t>此操作不和Blend操作一样  添加混合颜色在一起  ，而是   对它们做不同的操作  。</w:t>
      </w:r>
    </w:p>
    <w:p>
      <w:pPr>
        <w:ind w:left="420"/>
      </w:pPr>
      <w:bookmarkStart w:name="6284-1647662159912" w:id="94"/>
      <w:bookmarkEnd w:id="94"/>
      <w:r>
        <w:rPr>
          <w:highlight w:val="white"/>
        </w:rPr>
        <w:t>而如下便是常用混合操作符（blend operations）的含义列举：</w:t>
      </w:r>
    </w:p>
    <w:tbl>
      <w:tblPr>
        <w:tblW w:w="0" w:type="auto"/>
        <w:tblBorders>
          <w:top w:val="single"/>
          <w:left w:val="single"/>
          <w:bottom w:val="single"/>
          <w:right w:val="single"/>
          <w:insideH w:val="single"/>
          <w:insideV w:val="single"/>
        </w:tblBorders>
      </w:tblPr>
      <w:tblGrid>
        <w:gridCol w:w="1060"/>
        <w:gridCol w:w="1060"/>
      </w:tblGrid>
      <w:tr>
        <w:trPr>
          <w:trHeight w:val="600"/>
        </w:trPr>
        <w:tc>
          <w:tcPr>
            <w:tcW w:w="1060"/>
            <w:vAlign w:val="top"/>
          </w:tcPr>
          <w:p>
            <w:pPr/>
            <w:r>
              <w:rPr>
                <w:b w:val="true"/>
                <w:highlight w:val="white"/>
              </w:rPr>
              <w:t>Add</w:t>
            </w:r>
          </w:p>
        </w:tc>
        <w:tc>
          <w:tcPr>
            <w:tcW w:w="1060"/>
            <w:vAlign w:val="top"/>
          </w:tcPr>
          <w:p>
            <w:pPr/>
            <w:r>
              <w:rPr>
                <w:highlight w:val="white"/>
              </w:rPr>
              <w:t>将源像素和目标像素相加.</w:t>
            </w:r>
          </w:p>
        </w:tc>
      </w:tr>
      <w:tr>
        <w:trPr>
          <w:trHeight w:val="600"/>
        </w:trPr>
        <w:tc>
          <w:tcPr>
            <w:tcW w:w="1060"/>
            <w:vAlign w:val="top"/>
          </w:tcPr>
          <w:p>
            <w:pPr/>
            <w:r>
              <w:rPr>
                <w:b w:val="true"/>
                <w:highlight w:val="white"/>
              </w:rPr>
              <w:t>Sub</w:t>
            </w:r>
          </w:p>
        </w:tc>
        <w:tc>
          <w:tcPr>
            <w:tcW w:w="1060"/>
            <w:vAlign w:val="top"/>
          </w:tcPr>
          <w:p>
            <w:pPr/>
            <w:r>
              <w:rPr>
                <w:highlight w:val="white"/>
              </w:rPr>
              <w:t>用源像素减去目标像素</w:t>
            </w:r>
          </w:p>
        </w:tc>
      </w:tr>
      <w:tr>
        <w:trPr>
          <w:trHeight w:val="600"/>
        </w:trPr>
        <w:tc>
          <w:tcPr>
            <w:tcW w:w="1060"/>
            <w:vAlign w:val="top"/>
          </w:tcPr>
          <w:p>
            <w:pPr/>
            <w:r>
              <w:rPr>
                <w:b w:val="true"/>
                <w:highlight w:val="white"/>
              </w:rPr>
              <w:t>RevSub</w:t>
            </w:r>
          </w:p>
        </w:tc>
        <w:tc>
          <w:tcPr>
            <w:tcW w:w="1060"/>
            <w:vAlign w:val="top"/>
          </w:tcPr>
          <w:p>
            <w:pPr/>
            <w:r>
              <w:rPr>
                <w:highlight w:val="white"/>
              </w:rPr>
              <w:t>用目标像素减去源像素</w:t>
            </w:r>
          </w:p>
        </w:tc>
      </w:tr>
      <w:tr>
        <w:trPr>
          <w:trHeight w:val="600"/>
        </w:trPr>
        <w:tc>
          <w:tcPr>
            <w:tcW w:w="1060"/>
            <w:vAlign w:val="top"/>
          </w:tcPr>
          <w:p>
            <w:pPr/>
            <w:r>
              <w:rPr>
                <w:b w:val="true"/>
                <w:highlight w:val="white"/>
              </w:rPr>
              <w:t>Min</w:t>
            </w:r>
          </w:p>
        </w:tc>
        <w:tc>
          <w:tcPr>
            <w:tcW w:w="1060"/>
            <w:vAlign w:val="top"/>
          </w:tcPr>
          <w:p>
            <w:pPr/>
            <w:r>
              <w:rPr>
                <w:highlight w:val="white"/>
              </w:rPr>
              <w:t>取目标像素和源像素颜色的较小者作为结果</w:t>
            </w:r>
          </w:p>
        </w:tc>
      </w:tr>
      <w:tr>
        <w:trPr>
          <w:trHeight w:val="600"/>
        </w:trPr>
        <w:tc>
          <w:tcPr>
            <w:tcW w:w="1060"/>
            <w:vAlign w:val="top"/>
          </w:tcPr>
          <w:p>
            <w:pPr/>
            <w:r>
              <w:rPr>
                <w:b w:val="true"/>
                <w:highlight w:val="white"/>
              </w:rPr>
              <w:t>Max</w:t>
            </w:r>
          </w:p>
        </w:tc>
        <w:tc>
          <w:tcPr>
            <w:tcW w:w="1060"/>
            <w:vAlign w:val="top"/>
          </w:tcPr>
          <w:p>
            <w:pPr/>
            <w:r>
              <w:rPr>
                <w:highlight w:val="white"/>
              </w:rPr>
              <w:t>取目标像素和源像素颜色的较大者作为结果</w:t>
            </w:r>
          </w:p>
        </w:tc>
      </w:tr>
    </w:tbl>
    <w:p>
      <w:pPr/>
      <w:bookmarkStart w:name="8340-1647662159924" w:id="95"/>
      <w:bookmarkEnd w:id="95"/>
    </w:p>
    <w:p>
      <w:pPr/>
      <w:bookmarkStart w:name="7544-1647662159925" w:id="96"/>
      <w:bookmarkEnd w:id="96"/>
      <w:r>
        <w:rPr>
          <w:b w:val="true"/>
          <w:highlight w:val="white"/>
        </w:rPr>
        <w:t> 混合因子（Blend factors）:</w:t>
      </w:r>
    </w:p>
    <w:p>
      <w:pPr/>
      <w:bookmarkStart w:name="6133-1647662159925" w:id="97"/>
      <w:bookmarkEnd w:id="97"/>
    </w:p>
    <w:p>
      <w:pPr>
        <w:ind w:left="420"/>
      </w:pPr>
      <w:bookmarkStart w:name="5730-1647662159927" w:id="98"/>
      <w:bookmarkEnd w:id="98"/>
      <w:r>
        <w:rPr>
          <w:highlight w:val="white"/>
        </w:rPr>
        <w:t>以下所有的属性都可作为</w:t>
      </w:r>
      <w:r>
        <w:rPr>
          <w:b w:val="true"/>
          <w:highlight w:val="white"/>
        </w:rPr>
        <w:t>SrcFactor</w:t>
      </w:r>
      <w:r>
        <w:rPr>
          <w:highlight w:val="white"/>
        </w:rPr>
        <w:t>或</w:t>
      </w:r>
      <w:r>
        <w:rPr>
          <w:b w:val="true"/>
          <w:highlight w:val="white"/>
        </w:rPr>
        <w:t>DstFactor</w:t>
      </w:r>
      <w:r>
        <w:rPr>
          <w:highlight w:val="white"/>
        </w:rPr>
        <w:t>。</w:t>
      </w:r>
      <w:r>
        <w:rPr>
          <w:color w:val="ff0000"/>
          <w:highlight w:val="white"/>
        </w:rPr>
        <w:t>其中，Source指的是被计算过的颜色，Destination是已经在屏幕上的颜色。</w:t>
      </w:r>
    </w:p>
    <w:tbl>
      <w:tblPr>
        <w:tblW w:w="0" w:type="auto"/>
        <w:tblBorders>
          <w:top w:val="single"/>
          <w:left w:val="single"/>
          <w:bottom w:val="single"/>
          <w:right w:val="single"/>
          <w:insideH w:val="single"/>
          <w:insideV w:val="single"/>
        </w:tblBorders>
      </w:tblPr>
      <w:tblGrid>
        <w:gridCol w:w="1060"/>
        <w:gridCol w:w="6100"/>
      </w:tblGrid>
      <w:tr>
        <w:trPr>
          <w:trHeight w:val="600"/>
        </w:trPr>
        <w:tc>
          <w:tcPr>
            <w:tcW w:w="1060"/>
            <w:vAlign w:val="center"/>
          </w:tcPr>
          <w:p>
            <w:pPr/>
            <w:r>
              <w:rPr>
                <w:b w:val="true"/>
              </w:rPr>
              <w:t>One</w:t>
            </w:r>
          </w:p>
        </w:tc>
        <w:tc>
          <w:tcPr>
            <w:tcW w:w="6100"/>
            <w:vAlign w:val="center"/>
          </w:tcPr>
          <w:p>
            <w:pPr/>
            <w:r>
              <w:rPr/>
              <w:t>值为1，使用此因子来让帧缓冲区源颜色或是目标颜色完全的通过。</w:t>
            </w:r>
          </w:p>
        </w:tc>
      </w:tr>
      <w:tr>
        <w:trPr>
          <w:trHeight w:val="600"/>
        </w:trPr>
        <w:tc>
          <w:tcPr>
            <w:tcW w:w="1060"/>
            <w:vAlign w:val="center"/>
          </w:tcPr>
          <w:p>
            <w:pPr/>
            <w:r>
              <w:rPr>
                <w:b w:val="true"/>
              </w:rPr>
              <w:t>Zero</w:t>
            </w:r>
          </w:p>
        </w:tc>
        <w:tc>
          <w:tcPr>
            <w:tcW w:w="6100"/>
            <w:vAlign w:val="center"/>
          </w:tcPr>
          <w:p>
            <w:pPr/>
            <w:r>
              <w:rPr/>
              <w:t>值为0，使用此因子来删除帧缓冲区源颜色或目标颜色的值。</w:t>
            </w:r>
          </w:p>
        </w:tc>
      </w:tr>
      <w:tr>
        <w:trPr>
          <w:trHeight w:val="600"/>
        </w:trPr>
        <w:tc>
          <w:tcPr>
            <w:tcW w:w="1060"/>
            <w:vAlign w:val="center"/>
          </w:tcPr>
          <w:p>
            <w:pPr/>
            <w:r>
              <w:rPr>
                <w:b w:val="true"/>
              </w:rPr>
              <w:t>SrcColor</w:t>
            </w:r>
          </w:p>
        </w:tc>
        <w:tc>
          <w:tcPr>
            <w:tcW w:w="6100"/>
            <w:vAlign w:val="center"/>
          </w:tcPr>
          <w:p>
            <w:pPr/>
            <w:r>
              <w:rPr/>
              <w:t>使用此因子为将当前值乘以帧缓冲区源颜色的值</w:t>
            </w:r>
          </w:p>
        </w:tc>
      </w:tr>
      <w:tr>
        <w:trPr>
          <w:trHeight w:val="600"/>
        </w:trPr>
        <w:tc>
          <w:tcPr>
            <w:tcW w:w="1060"/>
            <w:vAlign w:val="center"/>
          </w:tcPr>
          <w:p>
            <w:pPr/>
            <w:r>
              <w:rPr>
                <w:b w:val="true"/>
              </w:rPr>
              <w:t>SrcAlpha</w:t>
            </w:r>
          </w:p>
        </w:tc>
        <w:tc>
          <w:tcPr>
            <w:tcW w:w="6100"/>
            <w:vAlign w:val="center"/>
          </w:tcPr>
          <w:p>
            <w:pPr/>
            <w:r>
              <w:rPr/>
              <w:t>使用此因子为将当前值乘以帧缓冲区源颜色Alpha的值。</w:t>
            </w:r>
          </w:p>
        </w:tc>
      </w:tr>
      <w:tr>
        <w:trPr>
          <w:trHeight w:val="600"/>
        </w:trPr>
        <w:tc>
          <w:tcPr>
            <w:tcW w:w="1060"/>
            <w:vAlign w:val="center"/>
          </w:tcPr>
          <w:p>
            <w:pPr/>
            <w:r>
              <w:rPr>
                <w:b w:val="true"/>
              </w:rPr>
              <w:t>DstColor</w:t>
            </w:r>
          </w:p>
        </w:tc>
        <w:tc>
          <w:tcPr>
            <w:tcW w:w="6100"/>
            <w:vAlign w:val="center"/>
          </w:tcPr>
          <w:p>
            <w:pPr/>
            <w:r>
              <w:rPr/>
              <w:t>使用此因子为将当前值乘以帧缓冲区源颜色的值。</w:t>
            </w:r>
            <w:r>
              <w:rPr>
                <w:color w:val="ff0000"/>
              </w:rPr>
              <w:t>（修改为屏幕上的颜色）</w:t>
            </w:r>
          </w:p>
        </w:tc>
      </w:tr>
      <w:tr>
        <w:trPr>
          <w:trHeight w:val="600"/>
        </w:trPr>
        <w:tc>
          <w:tcPr>
            <w:tcW w:w="1060"/>
            <w:vAlign w:val="center"/>
          </w:tcPr>
          <w:p>
            <w:pPr/>
            <w:r>
              <w:rPr>
                <w:b w:val="true"/>
              </w:rPr>
              <w:t>DstAlpha</w:t>
            </w:r>
          </w:p>
        </w:tc>
        <w:tc>
          <w:tcPr>
            <w:tcW w:w="6100"/>
            <w:vAlign w:val="center"/>
          </w:tcPr>
          <w:p>
            <w:pPr/>
            <w:r>
              <w:rPr/>
              <w:t>使用此因子为将当前值乘以帧缓冲区源颜色Alpha分量的值。</w:t>
            </w:r>
            <w:r>
              <w:rPr>
                <w:color w:val="ff0000"/>
                <w:highlight w:val="white"/>
              </w:rPr>
              <w:t>（修改为屏幕上的颜色Alpha分量）</w:t>
            </w:r>
          </w:p>
        </w:tc>
      </w:tr>
      <w:tr>
        <w:trPr>
          <w:trHeight w:val="600"/>
        </w:trPr>
        <w:tc>
          <w:tcPr>
            <w:tcW w:w="1060"/>
            <w:vAlign w:val="center"/>
          </w:tcPr>
          <w:p>
            <w:pPr/>
            <w:r>
              <w:rPr>
                <w:b w:val="true"/>
              </w:rPr>
              <w:t>OneMinusSrcColor</w:t>
            </w:r>
          </w:p>
        </w:tc>
        <w:tc>
          <w:tcPr>
            <w:tcW w:w="6100"/>
            <w:vAlign w:val="center"/>
          </w:tcPr>
          <w:p>
            <w:pPr/>
            <w:r>
              <w:rPr/>
              <w:t>使用此因子为将当前值乘以(1 -帧缓冲区源颜色值)</w:t>
            </w:r>
          </w:p>
        </w:tc>
      </w:tr>
      <w:tr>
        <w:trPr>
          <w:trHeight w:val="600"/>
        </w:trPr>
        <w:tc>
          <w:tcPr>
            <w:tcW w:w="1060"/>
            <w:vAlign w:val="center"/>
          </w:tcPr>
          <w:p>
            <w:pPr/>
            <w:r>
              <w:rPr>
                <w:b w:val="true"/>
              </w:rPr>
              <w:t>OneMinusSrcAlpha</w:t>
            </w:r>
          </w:p>
        </w:tc>
        <w:tc>
          <w:tcPr>
            <w:tcW w:w="6100"/>
            <w:vAlign w:val="center"/>
          </w:tcPr>
          <w:p>
            <w:pPr/>
            <w:r>
              <w:rPr/>
              <w:t>使用此因子为将当前值乘以(1 -帧缓冲区源颜色Alpha分量的值)</w:t>
            </w:r>
          </w:p>
        </w:tc>
      </w:tr>
      <w:tr>
        <w:trPr>
          <w:trHeight w:val="600"/>
        </w:trPr>
        <w:tc>
          <w:tcPr>
            <w:tcW w:w="1060"/>
            <w:vAlign w:val="center"/>
          </w:tcPr>
          <w:p>
            <w:pPr/>
            <w:r>
              <w:rPr>
                <w:b w:val="true"/>
              </w:rPr>
              <w:t>OneMinusDstColor</w:t>
            </w:r>
          </w:p>
        </w:tc>
        <w:tc>
          <w:tcPr>
            <w:tcW w:w="6100"/>
            <w:vAlign w:val="center"/>
          </w:tcPr>
          <w:p>
            <w:pPr/>
            <w:r>
              <w:rPr/>
              <w:t>使用此因子为将当前值乘以(1 –目标颜色值)</w:t>
            </w:r>
          </w:p>
        </w:tc>
      </w:tr>
      <w:tr>
        <w:trPr>
          <w:trHeight w:val="600"/>
        </w:trPr>
        <w:tc>
          <w:tcPr>
            <w:tcW w:w="1060"/>
            <w:vAlign w:val="center"/>
          </w:tcPr>
          <w:p>
            <w:pPr/>
            <w:r>
              <w:rPr>
                <w:b w:val="true"/>
              </w:rPr>
              <w:t>OneMinusDstAlpha</w:t>
            </w:r>
          </w:p>
        </w:tc>
        <w:tc>
          <w:tcPr>
            <w:tcW w:w="6100"/>
            <w:vAlign w:val="center"/>
          </w:tcPr>
          <w:p>
            <w:pPr/>
            <w:r>
              <w:rPr/>
              <w:t>使用此因子为将当前值乘以(1 –目标Alpha分量的值)</w:t>
            </w:r>
          </w:p>
        </w:tc>
      </w:tr>
    </w:tbl>
    <w:p>
      <w:pPr>
        <w:ind w:left="420"/>
      </w:pPr>
      <w:bookmarkStart w:name="4014-1647662159946" w:id="99"/>
      <w:bookmarkEnd w:id="99"/>
    </w:p>
    <w:p>
      <w:pPr>
        <w:ind w:left="420"/>
      </w:pPr>
      <w:bookmarkStart w:name="1864-1647662159947" w:id="100"/>
      <w:bookmarkEnd w:id="100"/>
      <w:r>
        <w:rPr>
          <w:rFonts w:ascii="Arial" w:hAnsi="Arial" w:cs="Arial" w:eastAsia="Arial"/>
          <w:highlight w:val="white"/>
        </w:rPr>
        <w:t>在Pass{}中使用如下：</w:t>
      </w:r>
    </w:p>
    <w:p>
      <w:pPr>
        <w:numPr>
          <w:ilvl w:val="0"/>
          <w:numId w:val="3"/>
        </w:numPr>
        <w:ind w:left="420"/>
      </w:pPr>
      <w:bookmarkStart w:name="7644-1647662159950" w:id="101"/>
      <w:bookmarkEnd w:id="101"/>
      <w:r>
        <w:rPr>
          <w:rFonts w:ascii="Courier New" w:hAnsi="Courier New" w:cs="Courier New" w:eastAsia="Courier New"/>
          <w:sz w:val="18"/>
          <w:highlight w:val="white"/>
        </w:rPr>
        <w:t>Blend SrcAlpha OneMinusSrcAlpha    </w:t>
      </w:r>
      <w:r>
        <w:rPr>
          <w:rFonts w:ascii="Courier New" w:hAnsi="Courier New" w:cs="Courier New" w:eastAsia="Courier New"/>
          <w:color w:val="008200"/>
          <w:sz w:val="18"/>
          <w:highlight w:val="white"/>
        </w:rPr>
        <w:t>// Alpha混合</w:t>
      </w:r>
      <w:r>
        <w:rPr>
          <w:rFonts w:ascii="Courier New" w:hAnsi="Courier New" w:cs="Courier New" w:eastAsia="Courier New"/>
          <w:sz w:val="18"/>
          <w:highlight w:val="white"/>
        </w:rPr>
        <w:t>  </w:t>
      </w:r>
    </w:p>
    <w:p>
      <w:pPr>
        <w:numPr>
          <w:ilvl w:val="0"/>
          <w:numId w:val="3"/>
        </w:numPr>
        <w:ind w:left="420"/>
      </w:pPr>
      <w:bookmarkStart w:name="9779-1647662159951" w:id="102"/>
      <w:bookmarkEnd w:id="102"/>
      <w:r>
        <w:rPr>
          <w:rFonts w:ascii="Courier New" w:hAnsi="Courier New" w:cs="Courier New" w:eastAsia="Courier New"/>
          <w:sz w:val="18"/>
          <w:highlight w:val="white"/>
        </w:rPr>
        <w:t>Blend One One                       </w:t>
      </w:r>
      <w:r>
        <w:rPr>
          <w:rFonts w:ascii="Courier New" w:hAnsi="Courier New" w:cs="Courier New" w:eastAsia="Courier New"/>
          <w:color w:val="008200"/>
          <w:sz w:val="18"/>
          <w:highlight w:val="white"/>
        </w:rPr>
        <w:t>// 相加</w:t>
      </w:r>
      <w:r>
        <w:rPr>
          <w:rFonts w:ascii="Courier New" w:hAnsi="Courier New" w:cs="Courier New" w:eastAsia="Courier New"/>
          <w:sz w:val="18"/>
          <w:highlight w:val="white"/>
        </w:rPr>
        <w:t>  </w:t>
      </w:r>
    </w:p>
    <w:p>
      <w:pPr>
        <w:numPr>
          <w:ilvl w:val="0"/>
          <w:numId w:val="3"/>
        </w:numPr>
        <w:ind w:left="420"/>
      </w:pPr>
      <w:bookmarkStart w:name="0063-1647662159952" w:id="103"/>
      <w:bookmarkEnd w:id="103"/>
      <w:r>
        <w:rPr>
          <w:rFonts w:ascii="Courier New" w:hAnsi="Courier New" w:cs="Courier New" w:eastAsia="Courier New"/>
          <w:sz w:val="18"/>
          <w:highlight w:val="white"/>
        </w:rPr>
        <w:t>Blend One OneMinusDstColor         </w:t>
      </w:r>
      <w:r>
        <w:rPr>
          <w:rFonts w:ascii="Courier New" w:hAnsi="Courier New" w:cs="Courier New" w:eastAsia="Courier New"/>
          <w:color w:val="008200"/>
          <w:sz w:val="18"/>
          <w:highlight w:val="white"/>
        </w:rPr>
        <w:t>// 比较柔和的相加（SoftAdditive）</w:t>
      </w:r>
      <w:r>
        <w:rPr>
          <w:rFonts w:ascii="Courier New" w:hAnsi="Courier New" w:cs="Courier New" w:eastAsia="Courier New"/>
          <w:sz w:val="18"/>
          <w:highlight w:val="white"/>
        </w:rPr>
        <w:t>  </w:t>
      </w:r>
    </w:p>
    <w:p>
      <w:pPr>
        <w:numPr>
          <w:ilvl w:val="0"/>
          <w:numId w:val="3"/>
        </w:numPr>
        <w:ind w:left="420"/>
      </w:pPr>
      <w:bookmarkStart w:name="3480-1647662159956" w:id="104"/>
      <w:bookmarkEnd w:id="104"/>
      <w:r>
        <w:rPr>
          <w:rFonts w:ascii="Courier New" w:hAnsi="Courier New" w:cs="Courier New" w:eastAsia="Courier New"/>
          <w:sz w:val="18"/>
          <w:highlight w:val="white"/>
        </w:rPr>
        <w:t>Blend DstColor Zero                  </w:t>
      </w:r>
      <w:r>
        <w:rPr>
          <w:rFonts w:ascii="Courier New" w:hAnsi="Courier New" w:cs="Courier New" w:eastAsia="Courier New"/>
          <w:color w:val="008200"/>
          <w:sz w:val="18"/>
          <w:highlight w:val="white"/>
        </w:rPr>
        <w:t>// 乘法</w:t>
      </w:r>
      <w:r>
        <w:rPr>
          <w:rFonts w:ascii="Courier New" w:hAnsi="Courier New" w:cs="Courier New" w:eastAsia="Courier New"/>
          <w:sz w:val="18"/>
          <w:highlight w:val="white"/>
        </w:rPr>
        <w:t>  </w:t>
      </w:r>
    </w:p>
    <w:p>
      <w:pPr>
        <w:numPr>
          <w:ilvl w:val="0"/>
          <w:numId w:val="3"/>
        </w:numPr>
        <w:ind w:left="420"/>
      </w:pPr>
      <w:bookmarkStart w:name="9940-1647662159957" w:id="105"/>
      <w:bookmarkEnd w:id="105"/>
      <w:r>
        <w:rPr>
          <w:rFonts w:ascii="Courier New" w:hAnsi="Courier New" w:cs="Courier New" w:eastAsia="Courier New"/>
          <w:sz w:val="18"/>
          <w:highlight w:val="white"/>
        </w:rPr>
        <w:t>Blend DstColor SrcColor              </w:t>
      </w:r>
      <w:r>
        <w:rPr>
          <w:rFonts w:ascii="Courier New" w:hAnsi="Courier New" w:cs="Courier New" w:eastAsia="Courier New"/>
          <w:color w:val="008200"/>
          <w:sz w:val="18"/>
          <w:highlight w:val="white"/>
        </w:rPr>
        <w:t>// 2倍乘法</w:t>
      </w:r>
      <w:r>
        <w:rPr>
          <w:rFonts w:ascii="Courier New" w:hAnsi="Courier New" w:cs="Courier New" w:eastAsia="Courier New"/>
          <w:sz w:val="18"/>
          <w:highlight w:val="white"/>
        </w:rPr>
        <w:t>  </w:t>
      </w:r>
    </w:p>
    <w:p>
      <w:pPr>
        <w:ind w:left="420"/>
      </w:pPr>
      <w:bookmarkStart w:name="5973-1647662159958" w:id="106"/>
      <w:bookmarkEnd w:id="106"/>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lvlOverride w:ilvl="0">
      <w:startOverride w:val="1"/>
    </w:lvlOverride>
  </w:num>
  <w:num w:numId="2">
    <w:abstractNumId w:val="1"/>
    <w:lvlOverride w:ilvl="0">
      <w:startOverride w:val="1"/>
    </w:lvlOverride>
  </w:num>
  <w:num w:numId="3">
    <w:abstractNumId w:val="0"/>
    <w:lvlOverride w:ilvl="0">
      <w:startOverride w:val="1"/>
    </w:lvlOverride>
    <w:lvlOverride w:ilvl="0">
      <w:startOverride w:val="1"/>
    </w:lvlOverride>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docs.unity3d.com/Manual/SL-ShaderPrograms.html" TargetMode="External" Type="http://schemas.openxmlformats.org/officeDocument/2006/relationships/hyperlink"/><Relationship Id="rId11" Target="media/image1.png" Type="http://schemas.openxmlformats.org/officeDocument/2006/relationships/image"/><Relationship Id="rId12" Target="numbering.xml" Type="http://schemas.openxmlformats.org/officeDocument/2006/relationships/numbering"/><Relationship Id="rId2" Target="styles.xml" Type="http://schemas.openxmlformats.org/officeDocument/2006/relationships/styles"/><Relationship Id="rId3" Target="http://blog.csdn.net/candycat1992/article/details/50167285" TargetMode="External" Type="http://schemas.openxmlformats.org/officeDocument/2006/relationships/hyperlink"/><Relationship Id="rId4" Target="http://blog.csdn.net/poem_qianmo/article/details/49556461" TargetMode="External" Type="http://schemas.openxmlformats.org/officeDocument/2006/relationships/hyperlink"/><Relationship Id="rId5" Target="http://blog.sina.com.cn/s/blog_471132920101d5kh.html" TargetMode="External" Type="http://schemas.openxmlformats.org/officeDocument/2006/relationships/hyperlink"/><Relationship Id="rId6" Target="http://blog.sina.com.cn/s/articlelist_2312702844_6_1.html" TargetMode="External" Type="http://schemas.openxmlformats.org/officeDocument/2006/relationships/hyperlink"/><Relationship Id="rId7" Target="https://onevcat.com/2013/07/shader-tutorial-1/" TargetMode="External" Type="http://schemas.openxmlformats.org/officeDocument/2006/relationships/hyperlink"/><Relationship Id="rId8" Target="https://onevcat.com/2013/08/shader-tutorial-2/" TargetMode="External" Type="http://schemas.openxmlformats.org/officeDocument/2006/relationships/hyperlink"/><Relationship Id="rId9" Target="http://edu.manew.com/course/96"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2022-04-01T15:16:31Z</dcterms:created>
  <dc:creator>Apache POI</dc:creator>
</cp:coreProperties>
</file>