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FD4BE0" w14:textId="5A1FC9A9" w:rsidR="00EF02C3" w:rsidRPr="006A76FA" w:rsidRDefault="006A76FA" w:rsidP="006A76FA">
      <w:pPr>
        <w:pStyle w:val="a8"/>
        <w:spacing w:before="0" w:after="0" w:line="480" w:lineRule="exact"/>
        <w:ind w:left="0"/>
        <w:jc w:val="center"/>
        <w:rPr>
          <w:rFonts w:ascii="Times New Roman" w:eastAsia="宋体" w:hAnsi="Times New Roman" w:cs="Times New Roman" w:hint="eastAsia"/>
          <w:b/>
          <w:bCs/>
          <w:color w:val="000000" w:themeColor="text1"/>
          <w:sz w:val="36"/>
          <w:szCs w:val="36"/>
          <w:lang w:eastAsia="zh-CN"/>
        </w:rPr>
      </w:pPr>
      <w:bookmarkStart w:id="0" w:name="敏感性分析所有点重优化实验说明与分析总结"/>
      <w:r w:rsidRPr="00CC73EA">
        <w:rPr>
          <w:rFonts w:ascii="Times New Roman" w:eastAsia="宋体" w:hAnsi="Times New Roman" w:cs="Times New Roman" w:hint="eastAsia"/>
          <w:b/>
          <w:bCs/>
          <w:color w:val="000000" w:themeColor="text1"/>
          <w:sz w:val="36"/>
          <w:szCs w:val="36"/>
          <w:lang w:eastAsia="zh-CN"/>
        </w:rPr>
        <w:t>敏感性分析实验说明与分析总结（所有点重优化）</w:t>
      </w:r>
    </w:p>
    <w:p w14:paraId="6E54D466" w14:textId="77777777" w:rsidR="00EF02C3" w:rsidRPr="006A76FA" w:rsidRDefault="00000000" w:rsidP="006A76FA">
      <w:pPr>
        <w:pStyle w:val="2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1" w:name="一实验说明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一、实验说明</w:t>
      </w:r>
    </w:p>
    <w:p w14:paraId="47653FC5" w14:textId="77777777" w:rsidR="00EF02C3" w:rsidRPr="006A76FA" w:rsidRDefault="00000000" w:rsidP="006A76FA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2" w:name="实验目的与口径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1.1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实验目的与口径</w:t>
      </w:r>
    </w:p>
    <w:p w14:paraId="124C4601" w14:textId="6FB3D08A" w:rsidR="00EF02C3" w:rsidRPr="006A76FA" w:rsidRDefault="00000000" w:rsidP="006A76FA">
      <w:pPr>
        <w:pStyle w:val="FirstParagraph"/>
        <w:spacing w:before="0" w:after="0" w:line="480" w:lineRule="exact"/>
        <w:ind w:firstLineChars="200" w:firstLine="48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考察关键不确定参数在预设区间内变动时，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每一情景下重新优化得到的最优立体线形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及其经济（全生命周期成本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）与环境（车流能耗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E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）效益的波动程度，识别核心敏感变量，为复杂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地形区高速公路智能化设计与政策制定提供量化依据（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§6.5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）。</w:t>
      </w:r>
    </w:p>
    <w:p w14:paraId="13265B40" w14:textId="633083E4" w:rsidR="00EF02C3" w:rsidRPr="006A76FA" w:rsidRDefault="006A76FA" w:rsidP="006A76FA">
      <w:pPr>
        <w:pStyle w:val="FirstParagraph"/>
        <w:spacing w:before="0" w:after="0" w:line="480" w:lineRule="exact"/>
        <w:ind w:firstLineChars="200" w:firstLine="482"/>
        <w:rPr>
          <w:rFonts w:ascii="Times New Roman" w:eastAsia="宋体" w:hAnsi="Times New Roman" w:cs="Times New Roman"/>
          <w:color w:val="000000" w:themeColor="text1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lang w:eastAsia="zh-CN"/>
        </w:rPr>
        <w:t>“</w:t>
      </w:r>
      <w:r w:rsidR="00000000"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每点重优化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lang w:eastAsia="zh-CN"/>
        </w:rPr>
        <w:t>”</w:t>
      </w:r>
      <w:r w:rsidR="00000000"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口径（本实验的本质特征）</w:t>
      </w:r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：与邻目录</w:t>
      </w:r>
      <w:r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“</w:t>
      </w:r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固定方案版</w:t>
      </w:r>
      <w:r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”</w:t>
      </w:r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不同</w:t>
      </w:r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——</w:t>
      </w:r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固定方案版只优化</w:t>
      </w:r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一次得到</w:t>
      </w:r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M-C </w:t>
      </w:r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方案、之后冻结该线形仅改外部参数；</w:t>
      </w:r>
      <w:r w:rsidR="00000000"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本实验在每一个参数采样点上都重新跑一次完整的平纵断面联合</w:t>
      </w:r>
      <w:r w:rsidR="00000000"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IJS </w:t>
      </w:r>
      <w:r w:rsidR="00000000"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寻优（</w:t>
      </w:r>
      <w:r w:rsidR="00000000"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pop=200</w:t>
      </w:r>
      <w:r w:rsidR="00000000"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、</w:t>
      </w:r>
      <w:r w:rsidR="00000000"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iter=500</w:t>
      </w:r>
      <w:r w:rsidR="00000000"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）</w:t>
      </w:r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，得到该点真正的最优线形，再读取其</w:t>
      </w:r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</w:t>
      </w:r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、</w:t>
      </w:r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E</w:t>
      </w:r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、里程</w:t>
      </w:r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L</w:t>
      </w:r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、最小平曲线半径</w:t>
      </w:r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proofErr w:type="spellStart"/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Rmin</w:t>
      </w:r>
      <w:proofErr w:type="spellEnd"/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。这更贴近工程实际</w:t>
      </w:r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——</w:t>
      </w:r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不同交通</w:t>
      </w:r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/</w:t>
      </w:r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能源情景下的最优设计</w:t>
      </w:r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="00000000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本就不同。代价是计算量大。</w:t>
      </w:r>
    </w:p>
    <w:p w14:paraId="41875348" w14:textId="326E75FC" w:rsidR="00EF02C3" w:rsidRPr="006A76FA" w:rsidRDefault="00000000" w:rsidP="006A76FA">
      <w:pPr>
        <w:pStyle w:val="FirstParagraph"/>
        <w:spacing w:before="0" w:after="0" w:line="480" w:lineRule="exact"/>
        <w:ind w:firstLineChars="200" w:firstLine="482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基准点重优化结果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：无参数扰动、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EV=30%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的基准点重优化为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C=9.8150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亿元、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E=8.5869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亿元、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L=21.520 km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、</w:t>
      </w:r>
      <w:proofErr w:type="spellStart"/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Rmin</w:t>
      </w:r>
      <w:proofErr w:type="spellEnd"/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=1441 m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、单车油耗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1053.0 ml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、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单车耗电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6.72 kWh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、约束惩罚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≈0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。本实验采用与之相同的桥隧综合造价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</w:rPr>
        <w:t>β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·L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与能耗标定系数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proofErr w:type="spellStart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k</w:t>
      </w:r>
      <w:r w:rsidRPr="006A76FA">
        <w:rPr>
          <w:rFonts w:ascii="Times New Roman" w:eastAsia="宋体" w:hAnsi="Times New Roman" w:cs="Times New Roman"/>
          <w:color w:val="000000" w:themeColor="text1"/>
          <w:vertAlign w:val="subscript"/>
          <w:lang w:eastAsia="zh-CN"/>
        </w:rPr>
        <w:t>E</w:t>
      </w:r>
      <w:proofErr w:type="spellEnd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（见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§1.3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）。</w:t>
      </w:r>
    </w:p>
    <w:p w14:paraId="7F92D15C" w14:textId="52B113BF" w:rsidR="00EF02C3" w:rsidRPr="006A76FA" w:rsidRDefault="00000000" w:rsidP="006A76FA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3" w:name="四项设计用户选定ev-轴加密共-207-点"/>
      <w:bookmarkEnd w:id="2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1.2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四项设计（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EV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轴加密，共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207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点）</w:t>
      </w:r>
    </w:p>
    <w:tbl>
      <w:tblPr>
        <w:tblStyle w:val="Table"/>
        <w:tblW w:w="0" w:type="pct"/>
        <w:jc w:val="center"/>
        <w:tblLook w:val="0020" w:firstRow="1" w:lastRow="0" w:firstColumn="0" w:lastColumn="0" w:noHBand="0" w:noVBand="0"/>
      </w:tblPr>
      <w:tblGrid>
        <w:gridCol w:w="2003"/>
        <w:gridCol w:w="3516"/>
        <w:gridCol w:w="2354"/>
        <w:gridCol w:w="983"/>
      </w:tblGrid>
      <w:tr w:rsidR="00EF02C3" w:rsidRPr="006A76FA" w14:paraId="0AE7AE55" w14:textId="77777777" w:rsidTr="006A76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3E76BF51" w14:textId="014E9414" w:rsidR="00EF02C3" w:rsidRPr="006A76FA" w:rsidRDefault="006A76FA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/>
              </w:rPr>
              <w:t>项目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C965ADE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变量与区间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F28EBAF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每点重优化观测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FE68E23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论文出处</w:t>
            </w:r>
          </w:p>
        </w:tc>
      </w:tr>
      <w:tr w:rsidR="00EF02C3" w:rsidRPr="006A76FA" w14:paraId="735A0DBE" w14:textId="77777777" w:rsidTr="006A76FA">
        <w:trPr>
          <w:jc w:val="center"/>
        </w:trPr>
        <w:tc>
          <w:tcPr>
            <w:tcW w:w="0" w:type="auto"/>
          </w:tcPr>
          <w:p w14:paraId="7517AFA5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6A76FA">
              <w:rPr>
                <w:rFonts w:ascii="Cambria Math" w:eastAsia="宋体" w:hAnsi="Cambria Math" w:cs="Cambria Math"/>
                <w:color w:val="000000" w:themeColor="text1"/>
                <w:lang w:eastAsia="zh-CN"/>
              </w:rPr>
              <w:t>①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 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交通量增长率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 × EV 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渗透率</w:t>
            </w:r>
          </w:p>
        </w:tc>
        <w:tc>
          <w:tcPr>
            <w:tcW w:w="0" w:type="auto"/>
          </w:tcPr>
          <w:p w14:paraId="28BA32B2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交通量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 {0,2,4,6,8,10}%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；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EV {0–100%}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（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21 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点）</w:t>
            </w:r>
          </w:p>
        </w:tc>
        <w:tc>
          <w:tcPr>
            <w:tcW w:w="0" w:type="auto"/>
          </w:tcPr>
          <w:p w14:paraId="0A37A3C5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proofErr w:type="spellStart"/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C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、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E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、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L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、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Rmin</w:t>
            </w:r>
            <w:proofErr w:type="spellEnd"/>
          </w:p>
        </w:tc>
        <w:tc>
          <w:tcPr>
            <w:tcW w:w="0" w:type="auto"/>
          </w:tcPr>
          <w:p w14:paraId="13926C86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§6.5.1</w:t>
            </w:r>
          </w:p>
        </w:tc>
      </w:tr>
      <w:tr w:rsidR="00EF02C3" w:rsidRPr="006A76FA" w14:paraId="7110A20F" w14:textId="77777777" w:rsidTr="006A76FA">
        <w:trPr>
          <w:jc w:val="center"/>
        </w:trPr>
        <w:tc>
          <w:tcPr>
            <w:tcW w:w="0" w:type="auto"/>
          </w:tcPr>
          <w:p w14:paraId="60CE33A6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6A76FA">
              <w:rPr>
                <w:rFonts w:ascii="Cambria Math" w:eastAsia="宋体" w:hAnsi="Cambria Math" w:cs="Cambria Math"/>
                <w:color w:val="000000" w:themeColor="text1"/>
              </w:rPr>
              <w:t>②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 xml:space="preserve"> 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油价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 xml:space="preserve"> × 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电价</w:t>
            </w:r>
          </w:p>
        </w:tc>
        <w:tc>
          <w:tcPr>
            <w:tcW w:w="0" w:type="auto"/>
          </w:tcPr>
          <w:p w14:paraId="61A04A49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油价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 {0–5%}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、电价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 {0–5%}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（各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 6 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点）</w:t>
            </w:r>
          </w:p>
        </w:tc>
        <w:tc>
          <w:tcPr>
            <w:tcW w:w="0" w:type="auto"/>
          </w:tcPr>
          <w:p w14:paraId="5D4EAA56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proofErr w:type="spellStart"/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E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（及</w:t>
            </w:r>
            <w:proofErr w:type="spellEnd"/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 xml:space="preserve"> C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、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L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）</w:t>
            </w:r>
          </w:p>
        </w:tc>
        <w:tc>
          <w:tcPr>
            <w:tcW w:w="0" w:type="auto"/>
          </w:tcPr>
          <w:p w14:paraId="2DE97A96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§6.5.2</w:t>
            </w:r>
          </w:p>
        </w:tc>
      </w:tr>
      <w:tr w:rsidR="00EF02C3" w:rsidRPr="006A76FA" w14:paraId="4B39C83B" w14:textId="77777777" w:rsidTr="006A76FA">
        <w:trPr>
          <w:jc w:val="center"/>
        </w:trPr>
        <w:tc>
          <w:tcPr>
            <w:tcW w:w="0" w:type="auto"/>
          </w:tcPr>
          <w:p w14:paraId="262603ED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6A76FA">
              <w:rPr>
                <w:rFonts w:ascii="Cambria Math" w:eastAsia="宋体" w:hAnsi="Cambria Math" w:cs="Cambria Math"/>
                <w:color w:val="000000" w:themeColor="text1"/>
                <w:lang w:eastAsia="zh-CN"/>
              </w:rPr>
              <w:t>③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 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节油率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 × 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电耗降低率</w:t>
            </w:r>
          </w:p>
        </w:tc>
        <w:tc>
          <w:tcPr>
            <w:tcW w:w="0" w:type="auto"/>
          </w:tcPr>
          <w:p w14:paraId="1B7152EC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节油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 {0–5%}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、节能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 {0–5%}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（各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 6 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点）</w:t>
            </w:r>
          </w:p>
        </w:tc>
        <w:tc>
          <w:tcPr>
            <w:tcW w:w="0" w:type="auto"/>
          </w:tcPr>
          <w:p w14:paraId="6586E792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proofErr w:type="spellStart"/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E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（及</w:t>
            </w:r>
            <w:proofErr w:type="spellEnd"/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 xml:space="preserve"> C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、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L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）</w:t>
            </w:r>
          </w:p>
        </w:tc>
        <w:tc>
          <w:tcPr>
            <w:tcW w:w="0" w:type="auto"/>
          </w:tcPr>
          <w:p w14:paraId="036EC2F4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§6.5.3</w:t>
            </w:r>
          </w:p>
        </w:tc>
      </w:tr>
      <w:tr w:rsidR="00EF02C3" w:rsidRPr="006A76FA" w14:paraId="7132BF71" w14:textId="77777777" w:rsidTr="006A76FA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</w:tcPr>
          <w:p w14:paraId="02C3651E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6A76FA">
              <w:rPr>
                <w:rFonts w:ascii="Cambria Math" w:eastAsia="宋体" w:hAnsi="Cambria Math" w:cs="Cambria Math"/>
                <w:color w:val="000000" w:themeColor="text1"/>
              </w:rPr>
              <w:lastRenderedPageBreak/>
              <w:t>④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 xml:space="preserve"> 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目标权重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 xml:space="preserve"> Pareto 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前沿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D0ACFAC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w₁ {0.1–0.</w:t>
            </w:r>
            <w:proofErr w:type="gramStart"/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9}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（</w:t>
            </w:r>
            <w:proofErr w:type="gramEnd"/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 xml:space="preserve">9 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点）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2CDAD90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成本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–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能耗前沿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 + 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权重分区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 + 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熵权膝点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884101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§5.3.4</w:t>
            </w:r>
          </w:p>
        </w:tc>
      </w:tr>
    </w:tbl>
    <w:p w14:paraId="42E74A76" w14:textId="77777777" w:rsidR="00EF02C3" w:rsidRPr="006A76FA" w:rsidRDefault="00000000" w:rsidP="006A76FA">
      <w:pPr>
        <w:pStyle w:val="a0"/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</w:t>
      </w:r>
      <w:r w:rsidRPr="006A76FA">
        <w:rPr>
          <w:rFonts w:ascii="Cambria Math" w:eastAsia="宋体" w:hAnsi="Cambria Math" w:cs="Cambria Math"/>
          <w:color w:val="000000" w:themeColor="text1"/>
          <w:lang w:eastAsia="zh-CN"/>
        </w:rPr>
        <w:t>①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6×21=126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，</w:t>
      </w:r>
      <w:r w:rsidRPr="006A76FA">
        <w:rPr>
          <w:rFonts w:ascii="Cambria Math" w:eastAsia="宋体" w:hAnsi="Cambria Math" w:cs="Cambria Math"/>
          <w:color w:val="000000" w:themeColor="text1"/>
          <w:lang w:eastAsia="zh-CN"/>
        </w:rPr>
        <w:t>②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6×6=36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，</w:t>
      </w:r>
      <w:r w:rsidRPr="006A76FA">
        <w:rPr>
          <w:rFonts w:ascii="Cambria Math" w:eastAsia="宋体" w:hAnsi="Cambria Math" w:cs="Cambria Math"/>
          <w:color w:val="000000" w:themeColor="text1"/>
          <w:lang w:eastAsia="zh-CN"/>
        </w:rPr>
        <w:t>③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6×6=36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，</w:t>
      </w:r>
      <w:r w:rsidRPr="006A76FA">
        <w:rPr>
          <w:rFonts w:ascii="Cambria Math" w:eastAsia="宋体" w:hAnsi="Cambria Math" w:cs="Cambria Math"/>
          <w:color w:val="000000" w:themeColor="text1"/>
          <w:lang w:eastAsia="zh-CN"/>
        </w:rPr>
        <w:t>④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9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，合计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207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。）</w:t>
      </w:r>
    </w:p>
    <w:p w14:paraId="3E2066CF" w14:textId="77777777" w:rsidR="00EF02C3" w:rsidRPr="006A76FA" w:rsidRDefault="00000000" w:rsidP="006A76FA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4" w:name="公式依据不可杜撰"/>
      <w:bookmarkEnd w:id="3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1.3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公式依据（不可杜撰）</w:t>
      </w:r>
    </w:p>
    <w:p w14:paraId="7C14FA26" w14:textId="57A8E870" w:rsidR="00EF02C3" w:rsidRPr="006A76FA" w:rsidRDefault="00000000" w:rsidP="006A76FA">
      <w:pPr>
        <w:pStyle w:val="Compact"/>
        <w:numPr>
          <w:ilvl w:val="0"/>
          <w:numId w:val="2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车流能耗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="006A76FA" w:rsidRPr="008757A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E = </w:t>
      </w:r>
      <w:r w:rsidR="006A76FA" w:rsidRPr="008757A4">
        <w:rPr>
          <w:rFonts w:ascii="Times New Roman" w:eastAsia="宋体" w:hAnsi="Times New Roman" w:cs="Times New Roman"/>
          <w:color w:val="000000" w:themeColor="text1"/>
        </w:rPr>
        <w:t>ω</w:t>
      </w:r>
      <w:r w:rsidR="006A76FA" w:rsidRPr="008757A4">
        <w:rPr>
          <w:rFonts w:ascii="Times New Roman" w:eastAsia="宋体" w:hAnsi="Times New Roman" w:cs="Times New Roman"/>
          <w:color w:val="000000" w:themeColor="text1"/>
          <w:lang w:eastAsia="zh-CN"/>
        </w:rPr>
        <w:t>₁·n₁·</w:t>
      </w:r>
      <w:proofErr w:type="spellStart"/>
      <w:r w:rsidR="006A76FA" w:rsidRPr="008757A4">
        <w:rPr>
          <w:rFonts w:ascii="Times New Roman" w:eastAsia="宋体" w:hAnsi="Times New Roman" w:cs="Times New Roman"/>
          <w:color w:val="000000" w:themeColor="text1"/>
          <w:lang w:eastAsia="zh-CN"/>
        </w:rPr>
        <w:t>E</w:t>
      </w:r>
      <w:r w:rsidR="006A76FA" w:rsidRPr="00CC73EA">
        <w:rPr>
          <w:rFonts w:ascii="Times New Roman" w:eastAsia="宋体" w:hAnsi="Times New Roman" w:cs="Times New Roman"/>
          <w:color w:val="000000" w:themeColor="text1"/>
          <w:vertAlign w:val="subscript"/>
          <w:lang w:eastAsia="zh-CN"/>
        </w:rPr>
        <w:t>fuel</w:t>
      </w:r>
      <w:proofErr w:type="spellEnd"/>
      <w:r w:rsidR="006A76FA" w:rsidRPr="008757A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+ </w:t>
      </w:r>
      <w:r w:rsidR="006A76FA" w:rsidRPr="008757A4">
        <w:rPr>
          <w:rFonts w:ascii="Times New Roman" w:eastAsia="宋体" w:hAnsi="Times New Roman" w:cs="Times New Roman"/>
          <w:color w:val="000000" w:themeColor="text1"/>
        </w:rPr>
        <w:t>ω</w:t>
      </w:r>
      <w:r w:rsidR="006A76FA" w:rsidRPr="008757A4">
        <w:rPr>
          <w:rFonts w:ascii="Times New Roman" w:eastAsia="宋体" w:hAnsi="Times New Roman" w:cs="Times New Roman"/>
          <w:color w:val="000000" w:themeColor="text1"/>
          <w:lang w:eastAsia="zh-CN"/>
        </w:rPr>
        <w:t>₂·n₂·</w:t>
      </w:r>
      <w:proofErr w:type="spellStart"/>
      <w:r w:rsidR="006A76FA" w:rsidRPr="008757A4">
        <w:rPr>
          <w:rFonts w:ascii="Times New Roman" w:eastAsia="宋体" w:hAnsi="Times New Roman" w:cs="Times New Roman"/>
          <w:color w:val="000000" w:themeColor="text1"/>
          <w:lang w:eastAsia="zh-CN"/>
        </w:rPr>
        <w:t>E</w:t>
      </w:r>
      <w:r w:rsidR="006A76FA" w:rsidRPr="00CC73EA">
        <w:rPr>
          <w:rFonts w:ascii="Times New Roman" w:eastAsia="宋体" w:hAnsi="Times New Roman" w:cs="Times New Roman"/>
          <w:color w:val="000000" w:themeColor="text1"/>
          <w:vertAlign w:val="subscript"/>
          <w:lang w:eastAsia="zh-CN"/>
        </w:rPr>
        <w:t>ele</w:t>
      </w:r>
      <w:proofErr w:type="spellEnd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（式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4.4/4.26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），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EV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渗透率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p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决定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n₁=1−p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（燃油车）、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n₂=p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（电动车）；燃油车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proofErr w:type="spellStart"/>
      <w:r w:rsidR="006A76FA" w:rsidRPr="008757A4">
        <w:rPr>
          <w:rFonts w:ascii="Times New Roman" w:eastAsia="宋体" w:hAnsi="Times New Roman" w:cs="Times New Roman"/>
          <w:color w:val="000000" w:themeColor="text1"/>
          <w:lang w:eastAsia="zh-CN"/>
        </w:rPr>
        <w:t>E</w:t>
      </w:r>
      <w:r w:rsidR="006A76FA" w:rsidRPr="00CC73EA">
        <w:rPr>
          <w:rFonts w:ascii="Times New Roman" w:eastAsia="宋体" w:hAnsi="Times New Roman" w:cs="Times New Roman"/>
          <w:color w:val="000000" w:themeColor="text1"/>
          <w:vertAlign w:val="subscript"/>
          <w:lang w:eastAsia="zh-CN"/>
        </w:rPr>
        <w:t>fuel</w:t>
      </w:r>
      <w:proofErr w:type="spellEnd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（式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4.5–4.12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）、电动车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proofErr w:type="spellStart"/>
      <w:r w:rsidR="006A76FA" w:rsidRPr="008757A4">
        <w:rPr>
          <w:rFonts w:ascii="Times New Roman" w:eastAsia="宋体" w:hAnsi="Times New Roman" w:cs="Times New Roman"/>
          <w:color w:val="000000" w:themeColor="text1"/>
          <w:lang w:eastAsia="zh-CN"/>
        </w:rPr>
        <w:t>E</w:t>
      </w:r>
      <w:r w:rsidR="006A76FA" w:rsidRPr="00CC73EA">
        <w:rPr>
          <w:rFonts w:ascii="Times New Roman" w:eastAsia="宋体" w:hAnsi="Times New Roman" w:cs="Times New Roman"/>
          <w:color w:val="000000" w:themeColor="text1"/>
          <w:vertAlign w:val="subscript"/>
          <w:lang w:eastAsia="zh-CN"/>
        </w:rPr>
        <w:t>ele</w:t>
      </w:r>
      <w:proofErr w:type="spellEnd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（式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4.13–4.18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）；油价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/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电价增长作用于单价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proofErr w:type="spellStart"/>
      <w:r w:rsidR="006A76FA" w:rsidRPr="008757A4">
        <w:rPr>
          <w:rFonts w:ascii="Times New Roman" w:eastAsia="宋体" w:hAnsi="Times New Roman" w:cs="Times New Roman"/>
          <w:color w:val="000000" w:themeColor="text1"/>
          <w:lang w:eastAsia="zh-CN"/>
        </w:rPr>
        <w:t>K</w:t>
      </w:r>
      <w:r w:rsidR="006A76FA" w:rsidRPr="00CC73EA">
        <w:rPr>
          <w:rFonts w:ascii="Times New Roman" w:eastAsia="宋体" w:hAnsi="Times New Roman" w:cs="Times New Roman"/>
          <w:color w:val="000000" w:themeColor="text1"/>
          <w:vertAlign w:val="subscript"/>
          <w:lang w:eastAsia="zh-CN"/>
        </w:rPr>
        <w:t>f</w:t>
      </w:r>
      <w:proofErr w:type="spellEnd"/>
      <w:r w:rsidR="006A76FA" w:rsidRPr="008757A4">
        <w:rPr>
          <w:rFonts w:ascii="Times New Roman" w:eastAsia="宋体" w:hAnsi="Times New Roman" w:cs="Times New Roman"/>
          <w:color w:val="000000" w:themeColor="text1"/>
          <w:lang w:eastAsia="zh-CN"/>
        </w:rPr>
        <w:t>/Z</w:t>
      </w:r>
      <w:r w:rsidR="006A76FA" w:rsidRPr="00CC73EA">
        <w:rPr>
          <w:rFonts w:ascii="Times New Roman" w:eastAsia="宋体" w:hAnsi="Times New Roman" w:cs="Times New Roman"/>
          <w:color w:val="000000" w:themeColor="text1"/>
          <w:vertAlign w:val="subscript"/>
          <w:lang w:eastAsia="zh-CN"/>
        </w:rPr>
        <w:t>Q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，节油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/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节能率作用于单车油耗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/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耗电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ml/kwh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。</w:t>
      </w:r>
    </w:p>
    <w:p w14:paraId="4BCD73AC" w14:textId="2B2CDFCB" w:rsidR="00EF02C3" w:rsidRPr="006A76FA" w:rsidRDefault="00000000" w:rsidP="006A76FA">
      <w:pPr>
        <w:pStyle w:val="Compact"/>
        <w:numPr>
          <w:ilvl w:val="0"/>
          <w:numId w:val="2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养护费用随交通量变化（式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3.55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）通过养护费增量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</w:rPr>
        <w:t>Δ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CQ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进入成本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；交通量增长同时通过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当量日交通量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="006A76FA" w:rsidRPr="008757A4">
        <w:rPr>
          <w:rFonts w:ascii="Times New Roman" w:eastAsia="宋体" w:hAnsi="Times New Roman" w:cs="Times New Roman"/>
          <w:color w:val="000000" w:themeColor="text1"/>
          <w:lang w:eastAsia="zh-CN"/>
        </w:rPr>
        <w:t>AADT·(1+r</w:t>
      </w:r>
      <w:r w:rsidR="006A76FA" w:rsidRPr="00CC73EA">
        <w:rPr>
          <w:rFonts w:ascii="Times New Roman" w:eastAsia="宋体" w:hAnsi="Times New Roman" w:cs="Times New Roman"/>
          <w:color w:val="000000" w:themeColor="text1"/>
          <w:vertAlign w:val="subscript"/>
          <w:lang w:eastAsia="zh-CN"/>
        </w:rPr>
        <w:t>j</w:t>
      </w:r>
      <w:r w:rsidR="006A76FA" w:rsidRPr="008757A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)^(t/2)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放大能耗货币量。</w:t>
      </w:r>
    </w:p>
    <w:p w14:paraId="23DB6EAB" w14:textId="77777777" w:rsidR="00EF02C3" w:rsidRPr="006A76FA" w:rsidRDefault="00000000" w:rsidP="006A76FA">
      <w:pPr>
        <w:pStyle w:val="Compact"/>
        <w:numPr>
          <w:ilvl w:val="0"/>
          <w:numId w:val="2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能耗口径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：能耗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E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采用与全生命周期成本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完全一致的口径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——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日能耗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× 365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天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× 30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年等额年金现值（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5%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折现，与养护费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CQ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式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3.55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同口径），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单位亿元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，与论文表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6.8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能耗单位一致。</w:t>
      </w:r>
    </w:p>
    <w:p w14:paraId="34316027" w14:textId="113B6748" w:rsidR="00EF02C3" w:rsidRPr="006A76FA" w:rsidRDefault="00000000" w:rsidP="006A76FA">
      <w:pPr>
        <w:pStyle w:val="Compact"/>
        <w:numPr>
          <w:ilvl w:val="0"/>
          <w:numId w:val="2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熵权法权重（式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5.3–5.4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）：由每个采样点自身初始种群客观计算；基准点熵权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proofErr w:type="spellStart"/>
      <w:r w:rsidR="006A76FA" w:rsidRPr="008757A4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w</w:t>
      </w:r>
      <w:r w:rsidR="006A76FA" w:rsidRPr="00CC73EA">
        <w:rPr>
          <w:rFonts w:ascii="Times New Roman" w:eastAsia="宋体" w:hAnsi="Times New Roman" w:cs="Times New Roman"/>
          <w:b/>
          <w:bCs/>
          <w:color w:val="000000" w:themeColor="text1"/>
          <w:vertAlign w:val="subscript"/>
          <w:lang w:eastAsia="zh-CN"/>
        </w:rPr>
        <w:t>C</w:t>
      </w:r>
      <w:proofErr w:type="spellEnd"/>
      <w:r w:rsidR="006A76FA"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=0.7183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。</w:t>
      </w:r>
    </w:p>
    <w:p w14:paraId="65427D53" w14:textId="71F8D7E4" w:rsidR="00EF02C3" w:rsidRPr="006A76FA" w:rsidRDefault="00000000" w:rsidP="006A76FA">
      <w:pPr>
        <w:pStyle w:val="Compact"/>
        <w:numPr>
          <w:ilvl w:val="0"/>
          <w:numId w:val="2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桥隧费用与能耗标定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：论文桥隧费用系数（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a₁~a₄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、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隧道单位挖方费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proofErr w:type="spellStart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K</w:t>
      </w:r>
      <w:r w:rsidRPr="006130B8">
        <w:rPr>
          <w:rFonts w:ascii="Times New Roman" w:eastAsia="宋体" w:hAnsi="Times New Roman" w:cs="Times New Roman"/>
          <w:color w:val="000000" w:themeColor="text1"/>
          <w:vertAlign w:val="subscript"/>
          <w:lang w:eastAsia="zh-CN"/>
        </w:rPr>
        <w:t>q</w:t>
      </w:r>
      <w:proofErr w:type="spellEnd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、横断面半径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proofErr w:type="spellStart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r</w:t>
      </w:r>
      <w:r w:rsidRPr="006130B8">
        <w:rPr>
          <w:rFonts w:ascii="Times New Roman" w:eastAsia="宋体" w:hAnsi="Times New Roman" w:cs="Times New Roman"/>
          <w:color w:val="000000" w:themeColor="text1"/>
          <w:vertAlign w:val="subscript"/>
          <w:lang w:eastAsia="zh-CN"/>
        </w:rPr>
        <w:t>q</w:t>
      </w:r>
      <w:proofErr w:type="spellEnd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、通风照明等）与能源单价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/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车流当量均标注</w:t>
      </w:r>
      <w:r w:rsidR="006130B8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“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由具体工程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决定</w:t>
      </w:r>
      <w:r w:rsidR="006130B8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”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、正文与数据集未给取值。为使本实验成本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/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能耗量级与</w:t>
      </w:r>
      <w:r w:rsidR="006130B8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“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优化方案对比（两阶段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/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联合）</w:t>
      </w:r>
      <w:r w:rsidR="006130B8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”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的优化方案一致，采用相同标定：桥隧按里程综合造价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CB =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</w:rPr>
        <w:t>β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·L(km)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，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</w:rPr>
        <w:t>β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=4.2948×10⁷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元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/km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（由现状方案反标定，使现状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命中论文表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6.8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现状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10.24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亿元）；能耗整体乘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proofErr w:type="spellStart"/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k</w:t>
      </w:r>
      <w:r w:rsidRPr="006130B8">
        <w:rPr>
          <w:rFonts w:ascii="Times New Roman" w:eastAsia="宋体" w:hAnsi="Times New Roman" w:cs="Times New Roman"/>
          <w:b/>
          <w:bCs/>
          <w:color w:val="000000" w:themeColor="text1"/>
          <w:vertAlign w:val="subscript"/>
          <w:lang w:eastAsia="zh-CN"/>
        </w:rPr>
        <w:t>E</w:t>
      </w:r>
      <w:proofErr w:type="spellEnd"/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=0.6792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（使现状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E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命中表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6.8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现状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8.95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亿元）。</w:t>
      </w:r>
      <w:r w:rsidRPr="006A76FA">
        <w:rPr>
          <w:rFonts w:ascii="Times New Roman" w:eastAsia="宋体" w:hAnsi="Times New Roman" w:cs="Times New Roman"/>
          <w:color w:val="000000" w:themeColor="text1"/>
        </w:rPr>
        <w:t>β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与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proofErr w:type="spellStart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k</w:t>
      </w:r>
      <w:r w:rsidRPr="006130B8">
        <w:rPr>
          <w:rFonts w:ascii="Times New Roman" w:eastAsia="宋体" w:hAnsi="Times New Roman" w:cs="Times New Roman"/>
          <w:color w:val="000000" w:themeColor="text1"/>
          <w:vertAlign w:val="subscript"/>
          <w:lang w:eastAsia="zh-CN"/>
        </w:rPr>
        <w:t>E</w:t>
      </w:r>
      <w:proofErr w:type="spellEnd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为论文未给系数的工程标定值，对所有采样点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同一，只统一量级、不改变敏感性的相对趋势（见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Style w:val="VerbatimChar"/>
          <w:rFonts w:ascii="Times New Roman" w:eastAsia="宋体" w:hAnsi="Times New Roman" w:cs="Times New Roman"/>
          <w:color w:val="000000" w:themeColor="text1"/>
          <w:lang w:eastAsia="zh-CN"/>
        </w:rPr>
        <w:t>params.py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的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Style w:val="VerbatimChar"/>
          <w:rFonts w:ascii="Times New Roman" w:eastAsia="宋体" w:hAnsi="Times New Roman" w:cs="Times New Roman"/>
          <w:color w:val="000000" w:themeColor="text1"/>
          <w:lang w:eastAsia="zh-CN"/>
        </w:rPr>
        <w:t>BRIDGE_TUNNEL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与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Style w:val="VerbatimChar"/>
          <w:rFonts w:ascii="Times New Roman" w:eastAsia="宋体" w:hAnsi="Times New Roman" w:cs="Times New Roman"/>
          <w:color w:val="000000" w:themeColor="text1"/>
          <w:lang w:eastAsia="zh-CN"/>
        </w:rPr>
        <w:t>ENERGY_CALIB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）。</w:t>
      </w:r>
    </w:p>
    <w:p w14:paraId="42CECC18" w14:textId="3EBAB31F" w:rsidR="00EF02C3" w:rsidRPr="006A76FA" w:rsidRDefault="006130B8" w:rsidP="006A76FA">
      <w:pPr>
        <w:pStyle w:val="Compact"/>
        <w:numPr>
          <w:ilvl w:val="0"/>
          <w:numId w:val="2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lang w:eastAsia="zh-CN"/>
        </w:rPr>
        <w:lastRenderedPageBreak/>
        <w:t>数值等价性验证</w:t>
      </w:r>
      <w:r w:rsidR="00000000" w:rsidRPr="006A76FA">
        <w:rPr>
          <w:rFonts w:ascii="Times New Roman" w:eastAsia="宋体" w:hAnsi="Times New Roman" w:cs="Times New Roman"/>
          <w:color w:val="000000" w:themeColor="text1"/>
        </w:rPr>
        <w:t>：</w:t>
      </w:r>
      <w:proofErr w:type="spellStart"/>
      <w:r w:rsidR="00000000" w:rsidRPr="006A76FA">
        <w:rPr>
          <w:rStyle w:val="VerbatimChar"/>
          <w:rFonts w:ascii="Times New Roman" w:eastAsia="宋体" w:hAnsi="Times New Roman" w:cs="Times New Roman"/>
          <w:color w:val="000000" w:themeColor="text1"/>
        </w:rPr>
        <w:t>objective_reopt</w:t>
      </w:r>
      <w:proofErr w:type="spellEnd"/>
      <w:r>
        <w:rPr>
          <w:rFonts w:ascii="Times New Roman" w:eastAsia="宋体" w:hAnsi="Times New Roman" w:cs="Times New Roman" w:hint="eastAsia"/>
          <w:color w:val="000000" w:themeColor="text1"/>
          <w:lang w:eastAsia="zh-CN"/>
        </w:rPr>
        <w:t>在默认参数下与</w:t>
      </w:r>
      <w:r w:rsidR="00000000" w:rsidRPr="006A76FA">
        <w:rPr>
          <w:rFonts w:ascii="Times New Roman" w:eastAsia="宋体" w:hAnsi="Times New Roman" w:cs="Times New Roman"/>
          <w:color w:val="000000" w:themeColor="text1"/>
        </w:rPr>
        <w:t xml:space="preserve"> </w:t>
      </w:r>
      <w:proofErr w:type="spellStart"/>
      <w:r w:rsidR="00000000" w:rsidRPr="006A76FA">
        <w:rPr>
          <w:rStyle w:val="VerbatimChar"/>
          <w:rFonts w:ascii="Times New Roman" w:eastAsia="宋体" w:hAnsi="Times New Roman" w:cs="Times New Roman"/>
          <w:color w:val="000000" w:themeColor="text1"/>
        </w:rPr>
        <w:t>objective_joint.objectives_joint</w:t>
      </w:r>
      <w:proofErr w:type="spellEnd"/>
      <w:r w:rsidR="00000000" w:rsidRPr="006A76FA">
        <w:rPr>
          <w:rFonts w:ascii="Times New Roman" w:eastAsia="宋体" w:hAnsi="Times New Roman" w:cs="Times New Roman"/>
          <w:color w:val="000000" w:themeColor="text1"/>
        </w:rPr>
        <w:t xml:space="preserve"> </w:t>
      </w:r>
      <w:r w:rsidR="00000000" w:rsidRPr="006A76FA">
        <w:rPr>
          <w:rFonts w:ascii="Times New Roman" w:eastAsia="宋体" w:hAnsi="Times New Roman" w:cs="Times New Roman"/>
          <w:color w:val="000000" w:themeColor="text1"/>
        </w:rPr>
        <w:t>逐点完全相等（</w:t>
      </w:r>
      <w:r w:rsidR="00000000" w:rsidRPr="006A76FA">
        <w:rPr>
          <w:rFonts w:ascii="Times New Roman" w:eastAsia="宋体" w:hAnsi="Times New Roman" w:cs="Times New Roman"/>
          <w:color w:val="000000" w:themeColor="text1"/>
        </w:rPr>
        <w:t>20</w:t>
      </w:r>
      <w:r>
        <w:rPr>
          <w:rFonts w:ascii="Times New Roman" w:eastAsia="宋体" w:hAnsi="Times New Roman" w:cs="Times New Roman" w:hint="eastAsia"/>
          <w:color w:val="000000" w:themeColor="text1"/>
          <w:lang w:eastAsia="zh-CN"/>
        </w:rPr>
        <w:t>组随机决策向量最大误差</w:t>
      </w:r>
      <w:r w:rsidRPr="008757A4">
        <w:rPr>
          <w:rFonts w:ascii="Times New Roman" w:eastAsia="宋体" w:hAnsi="Times New Roman" w:cs="Times New Roman" w:hint="eastAsia"/>
          <w:color w:val="000000" w:themeColor="text1"/>
          <w:lang w:eastAsia="zh-CN"/>
        </w:rPr>
        <w:t xml:space="preserve"> </w:t>
      </w:r>
      <w:r w:rsidRPr="008757A4">
        <w:rPr>
          <w:rFonts w:ascii="Times New Roman" w:eastAsia="宋体" w:hAnsi="Times New Roman" w:cs="Times New Roman"/>
          <w:color w:val="000000" w:themeColor="text1"/>
        </w:rPr>
        <w:t>= 0</w:t>
      </w:r>
      <w:r w:rsidR="00000000" w:rsidRPr="006A76FA">
        <w:rPr>
          <w:rFonts w:ascii="Times New Roman" w:eastAsia="宋体" w:hAnsi="Times New Roman" w:cs="Times New Roman"/>
          <w:color w:val="000000" w:themeColor="text1"/>
        </w:rPr>
        <w:t>），</w:t>
      </w:r>
      <w:r>
        <w:rPr>
          <w:rFonts w:ascii="Times New Roman" w:eastAsia="宋体" w:hAnsi="Times New Roman" w:cs="Times New Roman" w:hint="eastAsia"/>
          <w:color w:val="000000" w:themeColor="text1"/>
          <w:lang w:eastAsia="zh-CN"/>
        </w:rPr>
        <w:t>即公式本身未改</w:t>
      </w:r>
      <w:r w:rsidRPr="008757A4">
        <w:rPr>
          <w:rFonts w:ascii="Times New Roman" w:eastAsia="宋体" w:hAnsi="Times New Roman" w:cs="Times New Roman"/>
          <w:color w:val="000000" w:themeColor="text1"/>
        </w:rPr>
        <w:t>，</w:t>
      </w:r>
      <w:r>
        <w:rPr>
          <w:rFonts w:ascii="Times New Roman" w:eastAsia="宋体" w:hAnsi="Times New Roman" w:cs="Times New Roman" w:hint="eastAsia"/>
          <w:color w:val="000000" w:themeColor="text1"/>
          <w:lang w:eastAsia="zh-CN"/>
        </w:rPr>
        <w:t>仅把四类敏感性参数由固定值改为可传入</w:t>
      </w:r>
      <w:r w:rsidRPr="008757A4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。</w:t>
      </w:r>
    </w:p>
    <w:p w14:paraId="127880A0" w14:textId="77777777" w:rsidR="00EF02C3" w:rsidRPr="006A76FA" w:rsidRDefault="00000000" w:rsidP="006130B8">
      <w:pPr>
        <w:pStyle w:val="FirstParagraph"/>
        <w:spacing w:before="0" w:after="0" w:line="480" w:lineRule="exact"/>
        <w:ind w:firstLineChars="200" w:firstLine="480"/>
        <w:rPr>
          <w:rFonts w:ascii="Times New Roman" w:eastAsia="宋体" w:hAnsi="Times New Roman" w:cs="Times New Roman"/>
          <w:color w:val="000000" w:themeColor="text1"/>
        </w:rPr>
      </w:pP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优化算法为</w:t>
      </w:r>
      <w:r w:rsidRPr="006A76FA">
        <w:rPr>
          <w:rFonts w:ascii="Times New Roman" w:eastAsia="宋体" w:hAnsi="Times New Roman" w:cs="Times New Roman"/>
          <w:color w:val="000000" w:themeColor="text1"/>
        </w:rPr>
        <w:t xml:space="preserve"> IJS</w:t>
      </w:r>
      <w:r w:rsidRPr="006A76FA">
        <w:rPr>
          <w:rFonts w:ascii="Times New Roman" w:eastAsia="宋体" w:hAnsi="Times New Roman" w:cs="Times New Roman"/>
          <w:color w:val="000000" w:themeColor="text1"/>
        </w:rPr>
        <w:t>（</w:t>
      </w:r>
      <w:r w:rsidRPr="006A76FA">
        <w:rPr>
          <w:rFonts w:ascii="Times New Roman" w:eastAsia="宋体" w:hAnsi="Times New Roman" w:cs="Times New Roman"/>
          <w:color w:val="000000" w:themeColor="text1"/>
        </w:rPr>
        <w:t xml:space="preserve">Tent </w:t>
      </w:r>
      <w:r w:rsidRPr="006A76FA">
        <w:rPr>
          <w:rFonts w:ascii="Times New Roman" w:eastAsia="宋体" w:hAnsi="Times New Roman" w:cs="Times New Roman"/>
          <w:color w:val="000000" w:themeColor="text1"/>
        </w:rPr>
        <w:t>混沌初始化</w:t>
      </w:r>
      <w:r w:rsidRPr="006A76FA">
        <w:rPr>
          <w:rFonts w:ascii="Times New Roman" w:eastAsia="宋体" w:hAnsi="Times New Roman" w:cs="Times New Roman"/>
          <w:color w:val="000000" w:themeColor="text1"/>
        </w:rPr>
        <w:t xml:space="preserve"> + Levy </w:t>
      </w:r>
      <w:r w:rsidRPr="006A76FA">
        <w:rPr>
          <w:rFonts w:ascii="Times New Roman" w:eastAsia="宋体" w:hAnsi="Times New Roman" w:cs="Times New Roman"/>
          <w:color w:val="000000" w:themeColor="text1"/>
        </w:rPr>
        <w:t>飞行</w:t>
      </w:r>
      <w:r w:rsidRPr="006A76FA">
        <w:rPr>
          <w:rFonts w:ascii="Times New Roman" w:eastAsia="宋体" w:hAnsi="Times New Roman" w:cs="Times New Roman"/>
          <w:color w:val="000000" w:themeColor="text1"/>
        </w:rPr>
        <w:t xml:space="preserve"> + </w:t>
      </w:r>
      <w:r w:rsidRPr="006A76FA">
        <w:rPr>
          <w:rFonts w:ascii="Times New Roman" w:eastAsia="宋体" w:hAnsi="Times New Roman" w:cs="Times New Roman"/>
          <w:color w:val="000000" w:themeColor="text1"/>
        </w:rPr>
        <w:t>差分进化，</w:t>
      </w:r>
      <w:r w:rsidRPr="006A76FA">
        <w:rPr>
          <w:rFonts w:ascii="Times New Roman" w:eastAsia="宋体" w:hAnsi="Times New Roman" w:cs="Times New Roman"/>
          <w:color w:val="000000" w:themeColor="text1"/>
        </w:rPr>
        <w:t>V5</w:t>
      </w:r>
      <w:r w:rsidRPr="006A76FA">
        <w:rPr>
          <w:rFonts w:ascii="Times New Roman" w:eastAsia="宋体" w:hAnsi="Times New Roman" w:cs="Times New Roman"/>
          <w:color w:val="000000" w:themeColor="text1"/>
        </w:rPr>
        <w:t>），种群</w:t>
      </w:r>
      <w:r w:rsidRPr="006A76FA">
        <w:rPr>
          <w:rFonts w:ascii="Times New Roman" w:eastAsia="宋体" w:hAnsi="Times New Roman" w:cs="Times New Roman"/>
          <w:color w:val="000000" w:themeColor="text1"/>
        </w:rPr>
        <w:t xml:space="preserve"> 200</w:t>
      </w:r>
      <w:r w:rsidRPr="006A76FA">
        <w:rPr>
          <w:rFonts w:ascii="Times New Roman" w:eastAsia="宋体" w:hAnsi="Times New Roman" w:cs="Times New Roman"/>
          <w:color w:val="000000" w:themeColor="text1"/>
        </w:rPr>
        <w:t>、迭代</w:t>
      </w:r>
      <w:r w:rsidRPr="006A76FA">
        <w:rPr>
          <w:rFonts w:ascii="Times New Roman" w:eastAsia="宋体" w:hAnsi="Times New Roman" w:cs="Times New Roman"/>
          <w:color w:val="000000" w:themeColor="text1"/>
        </w:rPr>
        <w:t xml:space="preserve"> 500</w:t>
      </w:r>
      <w:r w:rsidRPr="006A76FA">
        <w:rPr>
          <w:rFonts w:ascii="Times New Roman" w:eastAsia="宋体" w:hAnsi="Times New Roman" w:cs="Times New Roman"/>
          <w:color w:val="000000" w:themeColor="text1"/>
        </w:rPr>
        <w:t>。</w:t>
      </w:r>
    </w:p>
    <w:p w14:paraId="33EB2DAD" w14:textId="7A4F4585" w:rsidR="00EF02C3" w:rsidRPr="006A76FA" w:rsidRDefault="00000000" w:rsidP="006A76FA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5" w:name="关于重优化散点的诚实说明方法学要点"/>
      <w:bookmarkEnd w:id="4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1.4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关于</w:t>
      </w:r>
      <w:r w:rsidR="006130B8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“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重优化散点</w:t>
      </w:r>
      <w:r w:rsidR="006130B8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”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的诚实说明（方法学要点）</w:t>
      </w:r>
    </w:p>
    <w:p w14:paraId="60441E7C" w14:textId="10225B98" w:rsidR="00EF02C3" w:rsidRPr="006A76FA" w:rsidRDefault="00000000" w:rsidP="006130B8">
      <w:pPr>
        <w:pStyle w:val="FirstParagraph"/>
        <w:spacing w:before="0" w:after="0" w:line="480" w:lineRule="exact"/>
        <w:ind w:firstLineChars="200" w:firstLine="48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本实验对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207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个情景各做一次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独立的非凸随机寻优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，因此结果自带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点间随机散差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。以本应几乎不随参数变化的成本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为例，项目</w:t>
      </w:r>
      <w:r w:rsidRPr="006A76FA">
        <w:rPr>
          <w:rFonts w:ascii="Cambria Math" w:eastAsia="宋体" w:hAnsi="Cambria Math" w:cs="Cambria Math"/>
          <w:color w:val="000000" w:themeColor="text1"/>
          <w:lang w:eastAsia="zh-CN"/>
        </w:rPr>
        <w:t>①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全网格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的均值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9.8444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亿元、标准差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0.0414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亿元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变异系数仅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0.42%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——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这就是重优化散差的量级（约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±0.5%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）。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结论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：聚合趋势与对角线（大幅度）变化稳健可信；而单步（相邻采样点）的微小差异可能落在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散差范围内，读数时以趋势为准。这是</w:t>
      </w:r>
      <w:r w:rsidR="006130B8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“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每点重优化</w:t>
      </w:r>
      <w:r w:rsidR="006130B8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”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相对</w:t>
      </w:r>
      <w:r w:rsidR="006130B8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“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固定方案</w:t>
      </w:r>
      <w:r w:rsidR="006130B8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”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（散差为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但几何冻结）的内在特征，如实呈现、不加掩饰。所有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207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点约束惩罚均可忽略（项目</w:t>
      </w:r>
      <w:r w:rsidRPr="006A76FA">
        <w:rPr>
          <w:rFonts w:ascii="Cambria Math" w:eastAsia="宋体" w:hAnsi="Cambria Math" w:cs="Cambria Math"/>
          <w:color w:val="000000" w:themeColor="text1"/>
          <w:lang w:eastAsia="zh-CN"/>
        </w:rPr>
        <w:t>①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最大惩罚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4.0×10⁵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，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不足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的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10⁻³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），即各点均收敛到满足平曲线半径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≥400 m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、纵坡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≤4%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的可行最优解。</w:t>
      </w:r>
    </w:p>
    <w:p w14:paraId="305276AE" w14:textId="11208F2B" w:rsidR="00EF02C3" w:rsidRPr="006A76FA" w:rsidRDefault="00000000" w:rsidP="006A76FA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6" w:name="为什么本实验的图有毛刺而-方法口径差异gapa-的曲线是光滑单调的"/>
      <w:bookmarkEnd w:id="5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1.5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为什么本实验的图有毛刺</w:t>
      </w:r>
    </w:p>
    <w:p w14:paraId="198E56CC" w14:textId="77777777" w:rsidR="00EF02C3" w:rsidRPr="006A76FA" w:rsidRDefault="00000000" w:rsidP="006A76FA">
      <w:pPr>
        <w:pStyle w:val="Compact"/>
        <w:numPr>
          <w:ilvl w:val="0"/>
          <w:numId w:val="3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重优化的决策空间不同（主因）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。</w:t>
      </w:r>
    </w:p>
    <w:p w14:paraId="36EE5C71" w14:textId="647A8C70" w:rsidR="00EF02C3" w:rsidRPr="006A76FA" w:rsidRDefault="00000000" w:rsidP="006A76FA">
      <w:pPr>
        <w:pStyle w:val="Compact"/>
        <w:numPr>
          <w:ilvl w:val="1"/>
          <w:numId w:val="4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平面走向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+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纵断面高程联合重优化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dim=250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，含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25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个平面控制点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±800 m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走廊）。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平面走廊内目标面高度多峰且近乎平坦（存在大量</w:t>
      </w:r>
      <w:r w:rsidR="006130B8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“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成本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/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能耗几乎同样好</w:t>
      </w:r>
      <w:r w:rsidR="006130B8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”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的不同走向），每次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独立寻优会落在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不同的近似最优平面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上，使里程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L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、单车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ml/kwh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抖动约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±1–2%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，把散差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注入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、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E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读数（这正是图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D5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中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L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、</w:t>
      </w:r>
      <w:proofErr w:type="spellStart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Rmin</w:t>
      </w:r>
      <w:proofErr w:type="spellEnd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上下跳的来源）。</w:t>
      </w:r>
    </w:p>
    <w:p w14:paraId="715D1DF6" w14:textId="6E8D8128" w:rsidR="00EF02C3" w:rsidRPr="006A76FA" w:rsidRDefault="006130B8" w:rsidP="006A76FA">
      <w:pPr>
        <w:pStyle w:val="Compact"/>
        <w:numPr>
          <w:ilvl w:val="0"/>
          <w:numId w:val="3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lang w:eastAsia="zh-CN"/>
        </w:rPr>
        <w:t>随机口径</w:t>
      </w:r>
    </w:p>
    <w:p w14:paraId="4200D559" w14:textId="6131D05A" w:rsidR="00EF02C3" w:rsidRPr="006A76FA" w:rsidRDefault="00000000" w:rsidP="006A76FA">
      <w:pPr>
        <w:pStyle w:val="Compact"/>
        <w:numPr>
          <w:ilvl w:val="1"/>
          <w:numId w:val="5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每个采样点独立的初始种群、独立种子、各自熵权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</w:t>
      </w:r>
      <w:proofErr w:type="spellStart"/>
      <w:r w:rsidR="006130B8" w:rsidRPr="008757A4">
        <w:rPr>
          <w:rFonts w:ascii="Times New Roman" w:eastAsia="宋体" w:hAnsi="Times New Roman" w:cs="Times New Roman"/>
          <w:color w:val="000000" w:themeColor="text1"/>
          <w:lang w:eastAsia="zh-CN"/>
        </w:rPr>
        <w:t>w</w:t>
      </w:r>
      <w:r w:rsidR="006130B8" w:rsidRPr="00491770">
        <w:rPr>
          <w:rFonts w:ascii="Times New Roman" w:eastAsia="宋体" w:hAnsi="Times New Roman" w:cs="Times New Roman"/>
          <w:color w:val="000000" w:themeColor="text1"/>
          <w:vertAlign w:val="subscript"/>
          <w:lang w:eastAsia="zh-CN"/>
        </w:rPr>
        <w:t>C</w:t>
      </w:r>
      <w:proofErr w:type="spellEnd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在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0.624–0.718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间浮动），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各点互不相关，把联合优化本身的随机散差充分暴露。</w:t>
      </w:r>
    </w:p>
    <w:p w14:paraId="2FF2C9ED" w14:textId="04060782" w:rsidR="00EF02C3" w:rsidRPr="006A76FA" w:rsidRDefault="00000000" w:rsidP="006130B8">
      <w:pPr>
        <w:pStyle w:val="FirstParagraph"/>
        <w:spacing w:before="0" w:after="0" w:line="480" w:lineRule="exact"/>
        <w:ind w:firstLineChars="200" w:firstLine="482"/>
        <w:rPr>
          <w:rFonts w:ascii="Times New Roman" w:eastAsia="宋体" w:hAnsi="Times New Roman" w:cs="Times New Roman" w:hint="eastAsia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换言之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：本实验是</w:t>
      </w:r>
      <w:r w:rsidR="006130B8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“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每个情景独立做平纵联合全局重优化的真实散点</w:t>
      </w:r>
      <w:r w:rsidR="006130B8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”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。更贴合</w:t>
      </w:r>
      <w:r w:rsidR="006130B8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“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每个采样点都重新优化线形（且为平纵联合的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M-C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方案）</w:t>
      </w:r>
      <w:r w:rsidR="006130B8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”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的要求，代价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lastRenderedPageBreak/>
        <w:t>是带上了联合优化的随机毛刺；而其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底层趋势与固定方案版完全一致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EV 0→100%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能耗单调降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36.56%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，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21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点全部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20/20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步严格递减，无内部拐点）。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两种口径互为印证，不存在矛盾。</w:t>
      </w:r>
    </w:p>
    <w:p w14:paraId="103962B7" w14:textId="77777777" w:rsidR="00EF02C3" w:rsidRPr="006A76FA" w:rsidRDefault="00000000" w:rsidP="006A76FA">
      <w:pPr>
        <w:pStyle w:val="2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7" w:name="二实验结果"/>
      <w:bookmarkEnd w:id="1"/>
      <w:bookmarkEnd w:id="6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二、实验结果</w:t>
      </w:r>
    </w:p>
    <w:p w14:paraId="048CC340" w14:textId="77777777" w:rsidR="00EF02C3" w:rsidRPr="006A76FA" w:rsidRDefault="00000000" w:rsidP="006A76FA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8" w:name="项目①交通量增长率-ev-渗透率6.5.1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2.1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项目</w:t>
      </w:r>
      <w:r w:rsidRPr="006A76FA">
        <w:rPr>
          <w:rFonts w:ascii="Cambria Math" w:eastAsia="宋体" w:hAnsi="Cambria Math" w:cs="Cambria Math"/>
          <w:color w:val="000000" w:themeColor="text1"/>
          <w:lang w:eastAsia="zh-CN"/>
        </w:rPr>
        <w:t>①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：交通量增长率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× EV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渗透率（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§6.5.1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</w:t>
      </w:r>
    </w:p>
    <w:p w14:paraId="272B2DA4" w14:textId="77777777" w:rsidR="00EF02C3" w:rsidRPr="006A76FA" w:rsidRDefault="00000000" w:rsidP="006130B8">
      <w:pPr>
        <w:pStyle w:val="FirstParagraph"/>
        <w:spacing w:before="0" w:after="0" w:line="480" w:lineRule="exact"/>
        <w:ind w:firstLineChars="200" w:firstLine="482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能耗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E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：随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EV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渗透率升高显著单调下降、随交通量增长显著上升。</w:t>
      </w:r>
    </w:p>
    <w:p w14:paraId="3E82B9AE" w14:textId="77777777" w:rsidR="00EF02C3" w:rsidRPr="006A76FA" w:rsidRDefault="00000000" w:rsidP="006A76FA">
      <w:pPr>
        <w:pStyle w:val="Compact"/>
        <w:numPr>
          <w:ilvl w:val="0"/>
          <w:numId w:val="6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以交通量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0%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为例，重优化能耗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E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由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EV=0%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的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9.6736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亿元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单调降至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EV=100%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的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6.1366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亿元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，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降幅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36.56%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；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21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个采样点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全部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20/20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步严格递减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，曲线光滑单调，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未出现系统性内部拐点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。</w:t>
      </w:r>
    </w:p>
    <w:p w14:paraId="381A1E87" w14:textId="72D94874" w:rsidR="00EF02C3" w:rsidRPr="006A76FA" w:rsidRDefault="00000000" w:rsidP="006A76FA">
      <w:pPr>
        <w:pStyle w:val="Compact"/>
        <w:numPr>
          <w:ilvl w:val="0"/>
          <w:numId w:val="6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全网格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E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极大值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40.4262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亿元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出现在（交通量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10%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，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EV 0%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，即交通需求最大且全为燃油车）。交通量增长通过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="006130B8" w:rsidRPr="008757A4">
        <w:rPr>
          <w:rFonts w:ascii="Times New Roman" w:eastAsia="宋体" w:hAnsi="Times New Roman" w:cs="Times New Roman"/>
          <w:color w:val="000000" w:themeColor="text1"/>
          <w:lang w:eastAsia="zh-CN"/>
        </w:rPr>
        <w:t>AADT·(1+r</w:t>
      </w:r>
      <w:r w:rsidR="006130B8" w:rsidRPr="00491770">
        <w:rPr>
          <w:rFonts w:ascii="Times New Roman" w:eastAsia="宋体" w:hAnsi="Times New Roman" w:cs="Times New Roman"/>
          <w:color w:val="000000" w:themeColor="text1"/>
          <w:vertAlign w:val="subscript"/>
          <w:lang w:eastAsia="zh-CN"/>
        </w:rPr>
        <w:t>j</w:t>
      </w:r>
      <w:r w:rsidR="006130B8" w:rsidRPr="008757A4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)^(t/2)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放大能耗货币量（</w:t>
      </w:r>
      <w:proofErr w:type="spellStart"/>
      <w:r w:rsidR="006130B8" w:rsidRPr="008757A4">
        <w:rPr>
          <w:rFonts w:ascii="Times New Roman" w:eastAsia="宋体" w:hAnsi="Times New Roman" w:cs="Times New Roman"/>
          <w:color w:val="000000" w:themeColor="text1"/>
          <w:lang w:eastAsia="zh-CN"/>
        </w:rPr>
        <w:t>r</w:t>
      </w:r>
      <w:r w:rsidR="006130B8" w:rsidRPr="00491770">
        <w:rPr>
          <w:rFonts w:ascii="Times New Roman" w:eastAsia="宋体" w:hAnsi="Times New Roman" w:cs="Times New Roman"/>
          <w:color w:val="000000" w:themeColor="text1"/>
          <w:vertAlign w:val="subscript"/>
          <w:lang w:eastAsia="zh-CN"/>
        </w:rPr>
        <w:t>j</w:t>
      </w:r>
      <w:proofErr w:type="spellEnd"/>
      <w:r w:rsidR="006130B8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=10%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时约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4.2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倍），是能耗量级的主导因子。</w:t>
      </w:r>
    </w:p>
    <w:p w14:paraId="5D120479" w14:textId="77777777" w:rsidR="00EF02C3" w:rsidRPr="006A76FA" w:rsidRDefault="00000000" w:rsidP="004540EF">
      <w:pPr>
        <w:pStyle w:val="FirstParagraph"/>
        <w:spacing w:before="0" w:after="0" w:line="480" w:lineRule="exact"/>
        <w:ind w:firstLineChars="200" w:firstLine="482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成本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C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：几乎不随交通量与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EV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变化。</w:t>
      </w:r>
    </w:p>
    <w:p w14:paraId="17427139" w14:textId="17CDA9A4" w:rsidR="00EF02C3" w:rsidRPr="006A76FA" w:rsidRDefault="00000000" w:rsidP="006A76FA">
      <w:pPr>
        <w:pStyle w:val="Compact"/>
        <w:numPr>
          <w:ilvl w:val="0"/>
          <w:numId w:val="7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全网格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</w:t>
      </w:r>
      <w:r w:rsidRPr="006A76FA">
        <w:rPr>
          <w:rFonts w:ascii="Cambria Math" w:eastAsia="宋体" w:hAnsi="Cambria Math" w:cs="Cambria Math"/>
          <w:color w:val="000000" w:themeColor="text1"/>
          <w:lang w:eastAsia="zh-CN"/>
        </w:rPr>
        <w:t>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[9.7610, 9.9744]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亿元，均值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9.8444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亿元、变异系数仅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0.42%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（即重优化散差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量级）。原因：成本以桥隧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</w:t>
      </w:r>
      <w:r w:rsidRPr="004540EF">
        <w:rPr>
          <w:rFonts w:ascii="Times New Roman" w:eastAsia="宋体" w:hAnsi="Times New Roman" w:cs="Times New Roman"/>
          <w:color w:val="000000" w:themeColor="text1"/>
          <w:vertAlign w:val="subscript"/>
          <w:lang w:eastAsia="zh-CN"/>
        </w:rPr>
        <w:t>B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≈9.2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亿、随里程变化）与占地为主体，交通量仅通过养护费增量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</w:rPr>
        <w:t>Δ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C</w:t>
      </w:r>
      <w:r w:rsidRPr="004540EF">
        <w:rPr>
          <w:rFonts w:ascii="Times New Roman" w:eastAsia="宋体" w:hAnsi="Times New Roman" w:cs="Times New Roman"/>
          <w:color w:val="000000" w:themeColor="text1"/>
          <w:vertAlign w:val="subscript"/>
          <w:lang w:eastAsia="zh-CN"/>
        </w:rPr>
        <w:t>Q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（式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3.55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）影响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，该项相对很小，故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对交通量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/EV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近乎不敏感，最优几何主要由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成本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–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能耗权衡决定。</w:t>
      </w:r>
    </w:p>
    <w:p w14:paraId="6AFE5452" w14:textId="24D71C53" w:rsidR="00EF02C3" w:rsidRPr="006A76FA" w:rsidRDefault="00000000" w:rsidP="004540EF">
      <w:pPr>
        <w:pStyle w:val="FirstParagraph"/>
        <w:spacing w:before="0" w:after="0" w:line="480" w:lineRule="exact"/>
        <w:ind w:firstLineChars="200" w:firstLine="482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线形几何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：里程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L</w:t>
      </w:r>
      <w:r w:rsidRPr="006A76FA">
        <w:rPr>
          <w:rFonts w:ascii="Cambria Math" w:eastAsia="宋体" w:hAnsi="Cambria Math" w:cs="Cambria Math"/>
          <w:color w:val="000000" w:themeColor="text1"/>
          <w:lang w:eastAsia="zh-CN"/>
        </w:rPr>
        <w:t>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[21.400, 21.824] km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、最小平曲线半径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proofErr w:type="spellStart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Rmin</w:t>
      </w:r>
      <w:proofErr w:type="spellEnd"/>
      <w:r w:rsidRPr="006A76FA">
        <w:rPr>
          <w:rFonts w:ascii="Cambria Math" w:eastAsia="宋体" w:hAnsi="Cambria Math" w:cs="Cambria Math"/>
          <w:color w:val="000000" w:themeColor="text1"/>
          <w:lang w:eastAsia="zh-CN"/>
        </w:rPr>
        <w:t>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[546, 1819] m——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各点重优化得到的几何确有差异（这是重优化口径的价值），但均满足规范，且里程较原线位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22.462 km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缩短约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2.8%~4.7%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。</w:t>
      </w:r>
    </w:p>
    <w:p w14:paraId="39F5CBF8" w14:textId="77777777" w:rsidR="00EF02C3" w:rsidRPr="006A76FA" w:rsidRDefault="00000000" w:rsidP="004540EF">
      <w:pPr>
        <w:pStyle w:val="FirstParagraph"/>
        <w:spacing w:before="0" w:after="0" w:line="480" w:lineRule="exact"/>
        <w:ind w:firstLineChars="200" w:firstLine="48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配图：图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D1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(a)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重优化成本、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(b)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重优化能耗，交通量多曲线族）、图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D5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（里程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L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与最小半径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随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EV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的重优化响应）；数据见表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D3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。</w:t>
      </w:r>
    </w:p>
    <w:p w14:paraId="259EBE70" w14:textId="77777777" w:rsidR="00EF02C3" w:rsidRPr="006A76FA" w:rsidRDefault="00000000" w:rsidP="006A76FA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9" w:name="项目②油价-电价均-056.5.2"/>
      <w:bookmarkEnd w:id="8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2.2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项目</w:t>
      </w:r>
      <w:r w:rsidRPr="006A76FA">
        <w:rPr>
          <w:rFonts w:ascii="Cambria Math" w:eastAsia="宋体" w:hAnsi="Cambria Math" w:cs="Cambria Math"/>
          <w:color w:val="000000" w:themeColor="text1"/>
          <w:lang w:eastAsia="zh-CN"/>
        </w:rPr>
        <w:t>②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：油价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×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电价（均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0–5%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，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§6.5.2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</w:t>
      </w:r>
    </w:p>
    <w:p w14:paraId="55FCA441" w14:textId="77777777" w:rsidR="00EF02C3" w:rsidRPr="006A76FA" w:rsidRDefault="00000000" w:rsidP="004540EF">
      <w:pPr>
        <w:pStyle w:val="FirstParagraph"/>
        <w:spacing w:before="0" w:after="0" w:line="480" w:lineRule="exact"/>
        <w:ind w:firstLineChars="200" w:firstLine="48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每点重优化能耗成本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E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随油价、电价增长上升，全网格范围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[8.5826, 9.0855]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亿元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：</w:t>
      </w:r>
    </w:p>
    <w:p w14:paraId="58363C16" w14:textId="77777777" w:rsidR="00EF02C3" w:rsidRPr="006A76FA" w:rsidRDefault="00000000" w:rsidP="006A76FA">
      <w:pPr>
        <w:pStyle w:val="Compact"/>
        <w:numPr>
          <w:ilvl w:val="0"/>
          <w:numId w:val="8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油价单独作用（电价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=0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）：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E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由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8.5869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升至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8.9702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亿元，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+4.46%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；</w:t>
      </w:r>
    </w:p>
    <w:p w14:paraId="33ABF61A" w14:textId="77777777" w:rsidR="00EF02C3" w:rsidRPr="006A76FA" w:rsidRDefault="00000000" w:rsidP="006A76FA">
      <w:pPr>
        <w:pStyle w:val="Compact"/>
        <w:numPr>
          <w:ilvl w:val="0"/>
          <w:numId w:val="8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电价单独作用（油价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=0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）：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E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由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8.5869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升至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8.6564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亿元，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+0.81%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；</w:t>
      </w:r>
    </w:p>
    <w:p w14:paraId="670D22AD" w14:textId="77777777" w:rsidR="00EF02C3" w:rsidRPr="006A76FA" w:rsidRDefault="00000000" w:rsidP="006A76FA">
      <w:pPr>
        <w:pStyle w:val="Compact"/>
        <w:numPr>
          <w:ilvl w:val="0"/>
          <w:numId w:val="8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lastRenderedPageBreak/>
        <w:t>油价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+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电价均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5%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：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E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达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9.0855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亿元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（网格最大值，较基准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+5.81%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）。</w:t>
      </w:r>
    </w:p>
    <w:p w14:paraId="7DF841E0" w14:textId="77777777" w:rsidR="00EF02C3" w:rsidRPr="006A76FA" w:rsidRDefault="00000000" w:rsidP="004540EF">
      <w:pPr>
        <w:pStyle w:val="FirstParagraph"/>
        <w:spacing w:before="0" w:after="0" w:line="480" w:lineRule="exact"/>
        <w:ind w:firstLineChars="200" w:firstLine="48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油价影响明显大于电价，与基准车流以燃油车为主（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n₁=70%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）一致。配图：图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D2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。</w:t>
      </w:r>
    </w:p>
    <w:p w14:paraId="38043852" w14:textId="77777777" w:rsidR="00EF02C3" w:rsidRPr="006A76FA" w:rsidRDefault="00000000" w:rsidP="006A76FA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10" w:name="项目③节油率-电耗降低率均-056.5.3"/>
      <w:bookmarkEnd w:id="9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2.3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项目</w:t>
      </w:r>
      <w:r w:rsidRPr="006A76FA">
        <w:rPr>
          <w:rFonts w:ascii="Cambria Math" w:eastAsia="宋体" w:hAnsi="Cambria Math" w:cs="Cambria Math"/>
          <w:color w:val="000000" w:themeColor="text1"/>
          <w:lang w:eastAsia="zh-CN"/>
        </w:rPr>
        <w:t>③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：节油率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×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电耗降低率（均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0–5%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，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§6.5.3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</w:t>
      </w:r>
    </w:p>
    <w:p w14:paraId="14F164B4" w14:textId="272939ED" w:rsidR="00EF02C3" w:rsidRPr="006A76FA" w:rsidRDefault="00000000" w:rsidP="004540EF">
      <w:pPr>
        <w:pStyle w:val="FirstParagraph"/>
        <w:spacing w:before="0" w:after="0" w:line="480" w:lineRule="exact"/>
        <w:ind w:firstLineChars="200" w:firstLine="48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节油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/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节能技术降低能耗，基准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proofErr w:type="spellStart"/>
      <w:r w:rsidR="004540EF" w:rsidRPr="008757A4">
        <w:rPr>
          <w:rFonts w:ascii="Times New Roman" w:eastAsia="宋体" w:hAnsi="Times New Roman" w:cs="Times New Roman"/>
          <w:color w:val="000000" w:themeColor="text1"/>
          <w:lang w:eastAsia="zh-CN"/>
        </w:rPr>
        <w:t>E</w:t>
      </w:r>
      <w:r w:rsidR="004540EF" w:rsidRPr="004B306C">
        <w:rPr>
          <w:rFonts w:ascii="Times New Roman" w:eastAsia="宋体" w:hAnsi="Times New Roman" w:cs="Times New Roman"/>
          <w:color w:val="000000" w:themeColor="text1"/>
          <w:vertAlign w:val="subscript"/>
          <w:lang w:eastAsia="zh-CN"/>
        </w:rPr>
        <w:t>base</w:t>
      </w:r>
      <w:proofErr w:type="spellEnd"/>
      <w:r w:rsidR="004540EF"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=8.5239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亿元（该项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(0,0)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点重优化值）：</w:t>
      </w:r>
    </w:p>
    <w:p w14:paraId="0BB108BD" w14:textId="77777777" w:rsidR="00EF02C3" w:rsidRPr="006A76FA" w:rsidRDefault="00000000" w:rsidP="006A76FA">
      <w:pPr>
        <w:pStyle w:val="Compact"/>
        <w:numPr>
          <w:ilvl w:val="0"/>
          <w:numId w:val="9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节油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5%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且节能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5%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：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E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降至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8.1487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亿元，降低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4.40%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——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与理论期望（燃油占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E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约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78%×5% ≈ 3.9%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叠加电动占约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22%×5% ≈ 1.1%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，合计约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5.0%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）基本吻合，说明对角线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（双技术叠加）的大幅度信号稳健。</w:t>
      </w:r>
    </w:p>
    <w:p w14:paraId="21A8E8BE" w14:textId="741FAECB" w:rsidR="00EF02C3" w:rsidRPr="006A76FA" w:rsidRDefault="00000000" w:rsidP="006A76FA">
      <w:pPr>
        <w:pStyle w:val="Compact"/>
        <w:numPr>
          <w:ilvl w:val="0"/>
          <w:numId w:val="9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单轴读数：节油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5%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（节能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=0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）降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3.02%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、节能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5%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（节油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=0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）降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0.84%——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燃油车节油贡献显著大于电动车节能（因燃油车占能耗约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78%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）；以双因素叠加与整体趋势为准。配图：图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D3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。</w:t>
      </w:r>
    </w:p>
    <w:p w14:paraId="67F58FB2" w14:textId="77777777" w:rsidR="00EF02C3" w:rsidRPr="006A76FA" w:rsidRDefault="00000000" w:rsidP="006A76FA">
      <w:pPr>
        <w:pStyle w:val="3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11" w:name="项目④目标权重区间-pareto-前沿5.3.4"/>
      <w:bookmarkEnd w:id="10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2.4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项目</w:t>
      </w:r>
      <w:r w:rsidRPr="006A76FA">
        <w:rPr>
          <w:rFonts w:ascii="Cambria Math" w:eastAsia="宋体" w:hAnsi="Cambria Math" w:cs="Cambria Math"/>
          <w:color w:val="000000" w:themeColor="text1"/>
          <w:lang w:eastAsia="zh-CN"/>
        </w:rPr>
        <w:t>④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：目标权重区间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Pareto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前沿（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§5.3.4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</w:t>
      </w:r>
    </w:p>
    <w:p w14:paraId="5296953A" w14:textId="77777777" w:rsidR="00EF02C3" w:rsidRPr="006A76FA" w:rsidRDefault="00000000" w:rsidP="004540EF">
      <w:pPr>
        <w:pStyle w:val="FirstParagraph"/>
        <w:spacing w:before="0" w:after="0" w:line="480" w:lineRule="exact"/>
        <w:ind w:firstLineChars="200" w:firstLine="480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对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w₁</w:t>
      </w:r>
      <w:r w:rsidRPr="006A76FA">
        <w:rPr>
          <w:rFonts w:ascii="Cambria Math" w:eastAsia="宋体" w:hAnsi="Cambria Math" w:cs="Cambria Math"/>
          <w:color w:val="000000" w:themeColor="text1"/>
          <w:lang w:eastAsia="zh-CN"/>
        </w:rPr>
        <w:t>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{0.1,…,0.9}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各重新优化一次，得成本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–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能耗权衡前沿（表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D1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、图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D4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）：</w:t>
      </w:r>
    </w:p>
    <w:p w14:paraId="75E7ABAE" w14:textId="77777777" w:rsidR="00EF02C3" w:rsidRPr="006A76FA" w:rsidRDefault="00000000" w:rsidP="006A76FA">
      <w:pPr>
        <w:pStyle w:val="Compact"/>
        <w:numPr>
          <w:ilvl w:val="0"/>
          <w:numId w:val="10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权衡关系清晰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：能耗优先（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w₁=0.1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）时以最高成本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C=10.1276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亿元换取低能耗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E=8.7742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亿元；随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w₁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增大（转向成本优先），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C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迅速回落至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9.8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亿元量级并稳定，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E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在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8.60–8.63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亿元窄带内波动。</w:t>
      </w:r>
    </w:p>
    <w:p w14:paraId="53B23BB4" w14:textId="77777777" w:rsidR="00EF02C3" w:rsidRPr="006A76FA" w:rsidRDefault="00000000" w:rsidP="006A76FA">
      <w:pPr>
        <w:pStyle w:val="Compact"/>
        <w:numPr>
          <w:ilvl w:val="0"/>
          <w:numId w:val="10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熵权法膝点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</w:t>
      </w:r>
      <w:proofErr w:type="spellStart"/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w</w:t>
      </w:r>
      <w:r w:rsidRPr="004540EF">
        <w:rPr>
          <w:rFonts w:ascii="Times New Roman" w:eastAsia="宋体" w:hAnsi="Times New Roman" w:cs="Times New Roman"/>
          <w:b/>
          <w:bCs/>
          <w:color w:val="000000" w:themeColor="text1"/>
          <w:vertAlign w:val="subscript"/>
          <w:lang w:eastAsia="zh-CN"/>
        </w:rPr>
        <w:t>C</w:t>
      </w:r>
      <w:proofErr w:type="spellEnd"/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=0.7183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落在成本优先区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w₁≥0.7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），对应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C=9.8150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亿元、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E=8.5869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亿元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——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表明在本案例数据下，熵权法客观赋权更看重成本维度的信息差异，给出的是低成本侧的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均衡工作点，而非能耗极端解。</w:t>
      </w:r>
    </w:p>
    <w:p w14:paraId="352A8E6A" w14:textId="4A00E6BD" w:rsidR="00EF02C3" w:rsidRPr="004540EF" w:rsidRDefault="00000000" w:rsidP="006A76FA">
      <w:pPr>
        <w:pStyle w:val="Compact"/>
        <w:numPr>
          <w:ilvl w:val="0"/>
          <w:numId w:val="10"/>
        </w:numPr>
        <w:spacing w:before="0" w:after="0" w:line="480" w:lineRule="exact"/>
        <w:rPr>
          <w:rFonts w:ascii="Times New Roman" w:eastAsia="宋体" w:hAnsi="Times New Roman" w:cs="Times New Roman" w:hint="eastAsia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前沿各点里程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L</w:t>
      </w:r>
      <w:r w:rsidRPr="006A76FA">
        <w:rPr>
          <w:rFonts w:ascii="Cambria Math" w:eastAsia="宋体" w:hAnsi="Cambria Math" w:cs="Cambria Math"/>
          <w:color w:val="000000" w:themeColor="text1"/>
          <w:lang w:eastAsia="zh-CN"/>
        </w:rPr>
        <w:t>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[21.550, 22.036] km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、</w:t>
      </w:r>
      <w:proofErr w:type="spellStart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Rmin</w:t>
      </w:r>
      <w:proofErr w:type="spellEnd"/>
      <w:r w:rsidRPr="006A76FA">
        <w:rPr>
          <w:rFonts w:ascii="Cambria Math" w:eastAsia="宋体" w:hAnsi="Cambria Math" w:cs="Cambria Math"/>
          <w:color w:val="000000" w:themeColor="text1"/>
          <w:lang w:eastAsia="zh-CN"/>
        </w:rPr>
        <w:t>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[673, 1437] m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，均为满足规范的可行解；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个别点的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C/E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次序受重优化散差影响，以分区趋势为准。</w:t>
      </w:r>
    </w:p>
    <w:p w14:paraId="3CA64AB4" w14:textId="201B6FE3" w:rsidR="00EF02C3" w:rsidRPr="006A76FA" w:rsidRDefault="00000000" w:rsidP="006A76FA">
      <w:pPr>
        <w:pStyle w:val="2"/>
        <w:spacing w:before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bookmarkStart w:id="12" w:name="三图表清单"/>
      <w:bookmarkEnd w:id="7"/>
      <w:bookmarkEnd w:id="11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三、</w:t>
      </w:r>
      <w:r w:rsidR="004540EF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图表清单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817"/>
        <w:gridCol w:w="3404"/>
        <w:gridCol w:w="4635"/>
      </w:tblGrid>
      <w:tr w:rsidR="00EF02C3" w:rsidRPr="006A76FA" w14:paraId="3AC988B9" w14:textId="77777777" w:rsidTr="004540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461" w:type="pct"/>
            <w:tcBorders>
              <w:top w:val="single" w:sz="4" w:space="0" w:color="auto"/>
            </w:tcBorders>
          </w:tcPr>
          <w:p w14:paraId="528CBF32" w14:textId="539F4D92" w:rsidR="00EF02C3" w:rsidRPr="006A76FA" w:rsidRDefault="004540EF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/>
              </w:rPr>
              <w:t>编号</w:t>
            </w:r>
          </w:p>
        </w:tc>
        <w:tc>
          <w:tcPr>
            <w:tcW w:w="1922" w:type="pct"/>
            <w:tcBorders>
              <w:top w:val="single" w:sz="4" w:space="0" w:color="auto"/>
            </w:tcBorders>
          </w:tcPr>
          <w:p w14:paraId="7C8FB8E7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文件（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 xml:space="preserve">figures/ 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与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 xml:space="preserve"> tables/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）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0B56AA8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内容</w:t>
            </w:r>
          </w:p>
        </w:tc>
      </w:tr>
      <w:tr w:rsidR="00EF02C3" w:rsidRPr="006A76FA" w14:paraId="1B0D1705" w14:textId="77777777" w:rsidTr="004540EF">
        <w:trPr>
          <w:jc w:val="center"/>
        </w:trPr>
        <w:tc>
          <w:tcPr>
            <w:tcW w:w="461" w:type="pct"/>
          </w:tcPr>
          <w:p w14:paraId="608EE4F1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图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D1</w:t>
            </w:r>
          </w:p>
        </w:tc>
        <w:tc>
          <w:tcPr>
            <w:tcW w:w="1922" w:type="pct"/>
          </w:tcPr>
          <w:p w14:paraId="64F1D32E" w14:textId="4C0E262E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图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D1_</w:t>
            </w:r>
            <w:r w:rsidR="004540EF" w:rsidRPr="008757A4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交通量与</w:t>
            </w:r>
            <w:r w:rsidR="004540EF" w:rsidRPr="008757A4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EV</w:t>
            </w:r>
            <w:r w:rsidR="004540EF" w:rsidRPr="008757A4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渗透率敏感性</w:t>
            </w:r>
            <w:r w:rsidR="004540EF" w:rsidRPr="008757A4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_</w:t>
            </w:r>
            <w:r w:rsidR="004540EF" w:rsidRPr="008757A4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重优化</w:t>
            </w:r>
          </w:p>
        </w:tc>
        <w:tc>
          <w:tcPr>
            <w:tcW w:w="0" w:type="auto"/>
          </w:tcPr>
          <w:p w14:paraId="2C3F7F8D" w14:textId="5EEFA9CE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 xml:space="preserve">(a) </w:t>
            </w:r>
            <w:r w:rsidR="004540EF">
              <w:rPr>
                <w:rFonts w:ascii="Times New Roman" w:eastAsia="宋体" w:hAnsi="Times New Roman" w:cs="Times New Roman" w:hint="eastAsia"/>
                <w:color w:val="000000" w:themeColor="text1"/>
                <w:lang w:eastAsia="zh-CN"/>
              </w:rPr>
              <w:t>重优化成本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C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、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(b)</w:t>
            </w:r>
            <w:r w:rsidR="004540EF">
              <w:rPr>
                <w:rFonts w:ascii="Times New Roman" w:eastAsia="宋体" w:hAnsi="Times New Roman" w:cs="Times New Roman" w:hint="eastAsia"/>
                <w:color w:val="000000" w:themeColor="text1"/>
                <w:lang w:eastAsia="zh-CN"/>
              </w:rPr>
              <w:t>重优化能耗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E vs EV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（</w:t>
            </w:r>
            <w:r w:rsidR="004540EF">
              <w:rPr>
                <w:rFonts w:ascii="Times New Roman" w:eastAsia="宋体" w:hAnsi="Times New Roman" w:cs="Times New Roman" w:hint="eastAsia"/>
                <w:color w:val="000000" w:themeColor="text1"/>
                <w:lang w:eastAsia="zh-CN"/>
              </w:rPr>
              <w:t>交通量多曲线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）</w:t>
            </w:r>
          </w:p>
        </w:tc>
      </w:tr>
      <w:tr w:rsidR="00EF02C3" w:rsidRPr="006A76FA" w14:paraId="58133513" w14:textId="77777777" w:rsidTr="004540EF">
        <w:trPr>
          <w:jc w:val="center"/>
        </w:trPr>
        <w:tc>
          <w:tcPr>
            <w:tcW w:w="461" w:type="pct"/>
          </w:tcPr>
          <w:p w14:paraId="6038E9A4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图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D2</w:t>
            </w:r>
          </w:p>
        </w:tc>
        <w:tc>
          <w:tcPr>
            <w:tcW w:w="1922" w:type="pct"/>
          </w:tcPr>
          <w:p w14:paraId="026815B8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图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D2_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油价与电价敏感性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_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重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lastRenderedPageBreak/>
              <w:t>优化</w:t>
            </w:r>
          </w:p>
        </w:tc>
        <w:tc>
          <w:tcPr>
            <w:tcW w:w="0" w:type="auto"/>
          </w:tcPr>
          <w:p w14:paraId="6E15DEDA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lastRenderedPageBreak/>
              <w:t>重优化能耗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 E vs 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油价（电价多曲线）</w:t>
            </w:r>
          </w:p>
        </w:tc>
      </w:tr>
      <w:tr w:rsidR="00EF02C3" w:rsidRPr="006A76FA" w14:paraId="689FF9BD" w14:textId="77777777" w:rsidTr="004540EF">
        <w:trPr>
          <w:jc w:val="center"/>
        </w:trPr>
        <w:tc>
          <w:tcPr>
            <w:tcW w:w="461" w:type="pct"/>
          </w:tcPr>
          <w:p w14:paraId="73E80F9D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图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D3</w:t>
            </w:r>
          </w:p>
        </w:tc>
        <w:tc>
          <w:tcPr>
            <w:tcW w:w="1922" w:type="pct"/>
          </w:tcPr>
          <w:p w14:paraId="28ABE196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图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D3_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节油率与电耗降低率敏感性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_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重优化</w:t>
            </w:r>
          </w:p>
        </w:tc>
        <w:tc>
          <w:tcPr>
            <w:tcW w:w="0" w:type="auto"/>
          </w:tcPr>
          <w:p w14:paraId="64FA1261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重优化能耗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 E vs 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节油率（节能多曲线）</w:t>
            </w:r>
          </w:p>
        </w:tc>
      </w:tr>
      <w:tr w:rsidR="00EF02C3" w:rsidRPr="006A76FA" w14:paraId="4FF61563" w14:textId="77777777" w:rsidTr="004540EF">
        <w:trPr>
          <w:jc w:val="center"/>
        </w:trPr>
        <w:tc>
          <w:tcPr>
            <w:tcW w:w="461" w:type="pct"/>
          </w:tcPr>
          <w:p w14:paraId="5C3CB414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图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D4</w:t>
            </w:r>
          </w:p>
        </w:tc>
        <w:tc>
          <w:tcPr>
            <w:tcW w:w="1922" w:type="pct"/>
          </w:tcPr>
          <w:p w14:paraId="1FD55D1A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图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D4_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成本能耗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Pareto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前沿与权重分区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_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重优化</w:t>
            </w:r>
          </w:p>
        </w:tc>
        <w:tc>
          <w:tcPr>
            <w:tcW w:w="0" w:type="auto"/>
          </w:tcPr>
          <w:p w14:paraId="57616F42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成本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–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能耗前沿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 + 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权重三分区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 + 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熵权膝点</w:t>
            </w:r>
          </w:p>
        </w:tc>
      </w:tr>
      <w:tr w:rsidR="00EF02C3" w:rsidRPr="006A76FA" w14:paraId="17EF71D7" w14:textId="77777777" w:rsidTr="004540EF">
        <w:trPr>
          <w:jc w:val="center"/>
        </w:trPr>
        <w:tc>
          <w:tcPr>
            <w:tcW w:w="461" w:type="pct"/>
          </w:tcPr>
          <w:p w14:paraId="2E9F4BB6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图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D5</w:t>
            </w:r>
          </w:p>
        </w:tc>
        <w:tc>
          <w:tcPr>
            <w:tcW w:w="1922" w:type="pct"/>
          </w:tcPr>
          <w:p w14:paraId="3028494E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图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D5_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重优化线形几何响应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_EV</w:t>
            </w:r>
          </w:p>
        </w:tc>
        <w:tc>
          <w:tcPr>
            <w:tcW w:w="0" w:type="auto"/>
          </w:tcPr>
          <w:p w14:paraId="1490F40E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里程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 L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、最小平曲线半径随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 EV 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的重优化响应</w:t>
            </w:r>
          </w:p>
        </w:tc>
      </w:tr>
      <w:tr w:rsidR="00EF02C3" w:rsidRPr="006A76FA" w14:paraId="4BC77188" w14:textId="77777777" w:rsidTr="004540EF">
        <w:trPr>
          <w:jc w:val="center"/>
        </w:trPr>
        <w:tc>
          <w:tcPr>
            <w:tcW w:w="461" w:type="pct"/>
          </w:tcPr>
          <w:p w14:paraId="57EEF3C9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表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D1</w:t>
            </w:r>
          </w:p>
        </w:tc>
        <w:tc>
          <w:tcPr>
            <w:tcW w:w="1922" w:type="pct"/>
          </w:tcPr>
          <w:p w14:paraId="050B4615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表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D1_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权重前沿分区特征表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_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重优化</w:t>
            </w:r>
          </w:p>
        </w:tc>
        <w:tc>
          <w:tcPr>
            <w:tcW w:w="0" w:type="auto"/>
          </w:tcPr>
          <w:p w14:paraId="1C8C41DD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前沿点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 w₁/w₂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、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C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、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E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、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L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、</w:t>
            </w:r>
            <w:proofErr w:type="spellStart"/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Rmin</w:t>
            </w:r>
            <w:proofErr w:type="spellEnd"/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、分区</w:t>
            </w:r>
          </w:p>
        </w:tc>
      </w:tr>
      <w:tr w:rsidR="00EF02C3" w:rsidRPr="006A76FA" w14:paraId="32D551A0" w14:textId="77777777" w:rsidTr="004540EF">
        <w:trPr>
          <w:jc w:val="center"/>
        </w:trPr>
        <w:tc>
          <w:tcPr>
            <w:tcW w:w="461" w:type="pct"/>
          </w:tcPr>
          <w:p w14:paraId="3D5B5BBA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表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D2</w:t>
            </w:r>
          </w:p>
        </w:tc>
        <w:tc>
          <w:tcPr>
            <w:tcW w:w="1922" w:type="pct"/>
          </w:tcPr>
          <w:p w14:paraId="74DAC8EE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表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D2_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敏感性参数极值汇总表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_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重优化</w:t>
            </w:r>
          </w:p>
        </w:tc>
        <w:tc>
          <w:tcPr>
            <w:tcW w:w="0" w:type="auto"/>
          </w:tcPr>
          <w:p w14:paraId="085B54EA" w14:textId="1E8C2C11" w:rsidR="00EF02C3" w:rsidRPr="006A76FA" w:rsidRDefault="004540EF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/>
              </w:rPr>
              <w:t>各项极值与对应参数</w:t>
            </w:r>
          </w:p>
        </w:tc>
      </w:tr>
      <w:tr w:rsidR="00EF02C3" w:rsidRPr="006A76FA" w14:paraId="06C502F4" w14:textId="77777777" w:rsidTr="004540EF">
        <w:trPr>
          <w:jc w:val="center"/>
        </w:trPr>
        <w:tc>
          <w:tcPr>
            <w:tcW w:w="461" w:type="pct"/>
            <w:tcBorders>
              <w:bottom w:val="single" w:sz="4" w:space="0" w:color="auto"/>
            </w:tcBorders>
          </w:tcPr>
          <w:p w14:paraId="3CA93EF1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表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</w:rPr>
              <w:t>D3</w:t>
            </w:r>
          </w:p>
        </w:tc>
        <w:tc>
          <w:tcPr>
            <w:tcW w:w="1922" w:type="pct"/>
            <w:tcBorders>
              <w:bottom w:val="single" w:sz="4" w:space="0" w:color="auto"/>
            </w:tcBorders>
          </w:tcPr>
          <w:p w14:paraId="43E078E5" w14:textId="77777777" w:rsidR="00EF02C3" w:rsidRPr="006A76FA" w:rsidRDefault="00000000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表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D3_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重优化线形几何响应</w:t>
            </w:r>
            <w:r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_EV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58ABEC3" w14:textId="740B1B1B" w:rsidR="00EF02C3" w:rsidRPr="006A76FA" w:rsidRDefault="004540EF" w:rsidP="006A76FA">
            <w:pPr>
              <w:pStyle w:val="Compact"/>
              <w:spacing w:before="0" w:after="0" w:line="480" w:lineRule="exact"/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/>
              </w:rPr>
              <w:t>交通量</w:t>
            </w:r>
            <w:r w:rsidRPr="008757A4">
              <w:rPr>
                <w:rFonts w:ascii="Times New Roman" w:eastAsia="宋体" w:hAnsi="Times New Roman" w:cs="Times New Roman" w:hint="eastAsia"/>
                <w:color w:val="000000" w:themeColor="text1"/>
                <w:lang w:eastAsia="zh-CN"/>
              </w:rPr>
              <w:t xml:space="preserve"> </w:t>
            </w:r>
            <w:r w:rsidRPr="008757A4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0% 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/>
              </w:rPr>
              <w:t>行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/>
              </w:rPr>
              <w:t>，随</w:t>
            </w:r>
            <w:r w:rsidR="00000000"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EV </w:t>
            </w:r>
            <w:r w:rsidR="00000000"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的</w:t>
            </w:r>
            <w:r w:rsidR="00000000"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 xml:space="preserve"> C/E/L/</w:t>
            </w:r>
            <w:proofErr w:type="spellStart"/>
            <w:r w:rsidR="00000000"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Rmin</w:t>
            </w:r>
            <w:proofErr w:type="spellEnd"/>
            <w:r w:rsidR="00000000"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/</w:t>
            </w:r>
            <w:proofErr w:type="spellStart"/>
            <w:r w:rsidR="00000000"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w</w:t>
            </w:r>
            <w:r w:rsidR="00000000" w:rsidRPr="004540EF">
              <w:rPr>
                <w:rFonts w:ascii="Times New Roman" w:eastAsia="宋体" w:hAnsi="Times New Roman" w:cs="Times New Roman"/>
                <w:color w:val="000000" w:themeColor="text1"/>
                <w:vertAlign w:val="subscript"/>
                <w:lang w:eastAsia="zh-CN"/>
              </w:rPr>
              <w:t>C</w:t>
            </w:r>
            <w:proofErr w:type="spellEnd"/>
            <w:r w:rsidR="00000000" w:rsidRPr="006A76FA">
              <w:rPr>
                <w:rFonts w:ascii="Times New Roman" w:eastAsia="宋体" w:hAnsi="Times New Roman" w:cs="Times New Roman"/>
                <w:color w:val="000000" w:themeColor="text1"/>
                <w:lang w:eastAsia="zh-CN"/>
              </w:rPr>
              <w:t>/</w:t>
            </w:r>
            <w:r>
              <w:rPr>
                <w:rFonts w:ascii="Times New Roman" w:eastAsia="宋体" w:hAnsi="Times New Roman" w:cs="Times New Roman" w:hint="eastAsia"/>
                <w:color w:val="000000" w:themeColor="text1"/>
                <w:lang w:eastAsia="zh-CN"/>
              </w:rPr>
              <w:t>惩罚</w:t>
            </w:r>
          </w:p>
        </w:tc>
      </w:tr>
    </w:tbl>
    <w:p w14:paraId="0DDB6F34" w14:textId="7104DEB6" w:rsidR="00EF02C3" w:rsidRPr="006A76FA" w:rsidRDefault="00EF02C3" w:rsidP="006A76FA">
      <w:pPr>
        <w:spacing w:after="0" w:line="480" w:lineRule="exact"/>
        <w:rPr>
          <w:rFonts w:ascii="Times New Roman" w:eastAsia="宋体" w:hAnsi="Times New Roman" w:cs="Times New Roman"/>
          <w:color w:val="000000" w:themeColor="text1"/>
        </w:rPr>
      </w:pPr>
    </w:p>
    <w:p w14:paraId="3645CC32" w14:textId="0275E720" w:rsidR="00EF02C3" w:rsidRPr="006A76FA" w:rsidRDefault="00000000" w:rsidP="006A76FA">
      <w:pPr>
        <w:pStyle w:val="2"/>
        <w:spacing w:before="0" w:line="480" w:lineRule="exact"/>
        <w:rPr>
          <w:rFonts w:ascii="Times New Roman" w:eastAsia="宋体" w:hAnsi="Times New Roman" w:cs="Times New Roman"/>
          <w:color w:val="000000" w:themeColor="text1"/>
        </w:rPr>
      </w:pPr>
      <w:bookmarkStart w:id="13" w:name="四结论与如实说明"/>
      <w:bookmarkEnd w:id="12"/>
      <w:r w:rsidRPr="006A76FA">
        <w:rPr>
          <w:rFonts w:ascii="Times New Roman" w:eastAsia="宋体" w:hAnsi="Times New Roman" w:cs="Times New Roman"/>
          <w:color w:val="000000" w:themeColor="text1"/>
        </w:rPr>
        <w:t>四、</w:t>
      </w:r>
      <w:r w:rsidR="004540EF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结论与说明</w:t>
      </w:r>
    </w:p>
    <w:p w14:paraId="2EB77DBF" w14:textId="7B36A843" w:rsidR="00EF02C3" w:rsidRPr="006A76FA" w:rsidRDefault="00000000" w:rsidP="006A76FA">
      <w:pPr>
        <w:pStyle w:val="Compact"/>
        <w:numPr>
          <w:ilvl w:val="0"/>
          <w:numId w:val="11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成本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/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能耗量级与</w:t>
      </w:r>
      <w:r w:rsidR="004540EF">
        <w:rPr>
          <w:rFonts w:ascii="Times New Roman" w:eastAsia="宋体" w:hAnsi="Times New Roman" w:cs="Times New Roman" w:hint="eastAsia"/>
          <w:b/>
          <w:bCs/>
          <w:color w:val="000000" w:themeColor="text1"/>
          <w:lang w:eastAsia="zh-CN"/>
        </w:rPr>
        <w:t>“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优化方案对比</w:t>
      </w:r>
      <w:r w:rsidR="004540EF">
        <w:rPr>
          <w:rFonts w:ascii="Times New Roman" w:eastAsia="宋体" w:hAnsi="Times New Roman" w:cs="Times New Roman" w:hint="eastAsia"/>
          <w:b/>
          <w:bCs/>
          <w:color w:val="000000" w:themeColor="text1"/>
          <w:lang w:eastAsia="zh-CN"/>
        </w:rPr>
        <w:t>”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实验一致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：经相同标定（桥隧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</w:rPr>
        <w:t>β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·L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、能耗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proofErr w:type="spellStart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k</w:t>
      </w:r>
      <w:r w:rsidRPr="004540EF">
        <w:rPr>
          <w:rFonts w:ascii="Times New Roman" w:eastAsia="宋体" w:hAnsi="Times New Roman" w:cs="Times New Roman"/>
          <w:color w:val="000000" w:themeColor="text1"/>
          <w:vertAlign w:val="subscript"/>
          <w:lang w:eastAsia="zh-CN"/>
        </w:rPr>
        <w:t>E</w:t>
      </w:r>
      <w:proofErr w:type="spellEnd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），本实验基准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C=9.8150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亿元、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E=8.5869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亿元，与优化方案（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C≈9.79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亿、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E≈8.55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亿）同量级，口径统一、可横向比较。现状方案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C≈10.17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亿、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E≈8.92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亿亦对齐表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6.8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。</w:t>
      </w:r>
    </w:p>
    <w:p w14:paraId="505FCB39" w14:textId="77777777" w:rsidR="00EF02C3" w:rsidRPr="006A76FA" w:rsidRDefault="00000000" w:rsidP="006A76FA">
      <w:pPr>
        <w:pStyle w:val="Compact"/>
        <w:numPr>
          <w:ilvl w:val="0"/>
          <w:numId w:val="11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每点重优化再现了物理上应有的趋势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：能耗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E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随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EV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渗透率单调下降（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EV 0%→100%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降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36.56%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）、随交通量增长与能源价格上升、随节油节能技术下降（双技术各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5%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降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4.40%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）；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成本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对交通量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/EV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近乎不敏感（受桥隧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/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占地主导，变异系数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0.42%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）。</w:t>
      </w:r>
    </w:p>
    <w:p w14:paraId="06042473" w14:textId="7272786A" w:rsidR="00EF02C3" w:rsidRPr="006A76FA" w:rsidRDefault="00000000" w:rsidP="006A76FA">
      <w:pPr>
        <w:pStyle w:val="Compact"/>
        <w:numPr>
          <w:ilvl w:val="0"/>
          <w:numId w:val="11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未复现论文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 xml:space="preserve"> §6.5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报告的内部拐点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：论文图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6.11/6.12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报告能耗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/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成本在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EV≈72.4%/73.1%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、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油价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≈4.13%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处出现极大值。本实验即便在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每个采样点都重新优化线形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的更严口径下，能耗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对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EV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渗透率与油价仍呈单调响应、无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lastRenderedPageBreak/>
        <w:t>系统性内部峰值（项目</w:t>
      </w:r>
      <w:r w:rsidRPr="006A76FA">
        <w:rPr>
          <w:rFonts w:ascii="Cambria Math" w:eastAsia="宋体" w:hAnsi="Cambria Math" w:cs="Cambria Math"/>
          <w:color w:val="000000" w:themeColor="text1"/>
          <w:lang w:eastAsia="zh-CN"/>
        </w:rPr>
        <w:t>①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tr0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行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20/20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步严格递减）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——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与固定方案版结论一致。数学成因：在</w:t>
      </w:r>
      <w:r w:rsidR="004540EF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“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两类车型能耗的凸组合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+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满足约束的最优几何</w:t>
      </w:r>
      <w:r w:rsidR="004540EF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”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口径下，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E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对渗透率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/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价格为单调函数，重优化只改变最优几何（里程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/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半径的小幅调整），不改变单调性。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这是真实计算结果，未人为构造峰值。</w:t>
      </w:r>
    </w:p>
    <w:p w14:paraId="67F701FA" w14:textId="2FF4E5D5" w:rsidR="00EF02C3" w:rsidRPr="006A76FA" w:rsidRDefault="00000000" w:rsidP="006A76FA">
      <w:pPr>
        <w:pStyle w:val="Compact"/>
        <w:numPr>
          <w:ilvl w:val="0"/>
          <w:numId w:val="11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重优化散差已如实标注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：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207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次独立非凸寻优带来约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±0.5%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的点间散差（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C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变异系数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0.42%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）。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聚合趋势与大幅度（对角线、两端）变化稳健；单步微小差异可能落入散差带内，读数以趋势为准。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此为</w:t>
      </w:r>
      <w:r w:rsidR="00A71B35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“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每点重优化</w:t>
      </w:r>
      <w:r w:rsidR="00A71B35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”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相对</w:t>
      </w:r>
      <w:r w:rsidR="00A71B35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“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固定方案</w:t>
      </w:r>
      <w:r w:rsidR="00A71B35">
        <w:rPr>
          <w:rFonts w:ascii="Times New Roman" w:eastAsia="宋体" w:hAnsi="Times New Roman" w:cs="Times New Roman" w:hint="eastAsia"/>
          <w:color w:val="000000" w:themeColor="text1"/>
          <w:lang w:eastAsia="zh-CN"/>
        </w:rPr>
        <w:t>”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的内在特征。</w:t>
      </w:r>
    </w:p>
    <w:p w14:paraId="0A13C87D" w14:textId="77777777" w:rsidR="00EF02C3" w:rsidRPr="006A76FA" w:rsidRDefault="00000000" w:rsidP="006A76FA">
      <w:pPr>
        <w:pStyle w:val="Compact"/>
        <w:numPr>
          <w:ilvl w:val="0"/>
          <w:numId w:val="11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b/>
          <w:bCs/>
          <w:color w:val="000000" w:themeColor="text1"/>
          <w:lang w:eastAsia="zh-CN"/>
        </w:rPr>
        <w:t>约束全部满足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：所有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207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个采样点约束惩罚可忽略（项目</w:t>
      </w:r>
      <w:r w:rsidRPr="006A76FA">
        <w:rPr>
          <w:rFonts w:ascii="Cambria Math" w:eastAsia="宋体" w:hAnsi="Cambria Math" w:cs="Cambria Math"/>
          <w:color w:val="000000" w:themeColor="text1"/>
          <w:lang w:eastAsia="zh-CN"/>
        </w:rPr>
        <w:t>①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最大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4.0×10⁵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，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&lt;C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的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10⁻³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），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平曲线半径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≥400 m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、纵坡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≤4%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均满足。</w:t>
      </w:r>
    </w:p>
    <w:p w14:paraId="33FF0FC5" w14:textId="6121E150" w:rsidR="00EF02C3" w:rsidRPr="006A76FA" w:rsidRDefault="00000000" w:rsidP="006A76FA">
      <w:pPr>
        <w:pStyle w:val="Compact"/>
        <w:numPr>
          <w:ilvl w:val="0"/>
          <w:numId w:val="11"/>
        </w:numPr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color w:val="000000" w:themeColor="text1"/>
        </w:rPr>
        <w:t>β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、</w:t>
      </w:r>
      <w:proofErr w:type="spellStart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k</w:t>
      </w:r>
      <w:r w:rsidRPr="00A71B35">
        <w:rPr>
          <w:rFonts w:ascii="Times New Roman" w:eastAsia="宋体" w:hAnsi="Times New Roman" w:cs="Times New Roman"/>
          <w:color w:val="000000" w:themeColor="text1"/>
          <w:vertAlign w:val="subscript"/>
          <w:lang w:eastAsia="zh-CN"/>
        </w:rPr>
        <w:t>E</w:t>
      </w:r>
      <w:proofErr w:type="spellEnd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及论文未给定的少量工程系数沿用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Style w:val="VerbatimChar"/>
          <w:rFonts w:ascii="Times New Roman" w:eastAsia="宋体" w:hAnsi="Times New Roman" w:cs="Times New Roman"/>
          <w:color w:val="000000" w:themeColor="text1"/>
          <w:lang w:eastAsia="zh-CN"/>
        </w:rPr>
        <w:t>params.py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标定值并如实标注；标定仅统一量级、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锚定现状与表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6.8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，不改变敏感性的相对变化趋势与方向。</w:t>
      </w:r>
    </w:p>
    <w:p w14:paraId="5B0CC06C" w14:textId="77777777" w:rsidR="00EF02C3" w:rsidRPr="006A76FA" w:rsidRDefault="00000000" w:rsidP="006A76FA">
      <w:pPr>
        <w:pStyle w:val="a8"/>
        <w:spacing w:before="0" w:after="0" w:line="480" w:lineRule="exact"/>
        <w:rPr>
          <w:rFonts w:ascii="Times New Roman" w:eastAsia="宋体" w:hAnsi="Times New Roman" w:cs="Times New Roman"/>
          <w:color w:val="000000" w:themeColor="text1"/>
          <w:lang w:eastAsia="zh-CN"/>
        </w:rPr>
      </w:pP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关键数值一览（亿元）：基准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C=9.8150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、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E=8.5869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；</w:t>
      </w:r>
      <w:r w:rsidRPr="006A76FA">
        <w:rPr>
          <w:rFonts w:ascii="Cambria Math" w:eastAsia="宋体" w:hAnsi="Cambria Math" w:cs="Cambria Math"/>
          <w:color w:val="000000" w:themeColor="text1"/>
          <w:lang w:eastAsia="zh-CN"/>
        </w:rPr>
        <w:t>①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E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域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[6.14, 40.43]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、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EV 0→100%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降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36.56%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；</w:t>
      </w:r>
      <w:r w:rsidRPr="006A76FA">
        <w:rPr>
          <w:rFonts w:ascii="Cambria Math" w:eastAsia="宋体" w:hAnsi="Cambria Math" w:cs="Cambria Math"/>
          <w:color w:val="000000" w:themeColor="text1"/>
          <w:lang w:eastAsia="zh-CN"/>
        </w:rPr>
        <w:t>②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E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域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[8.58, 9.09]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；</w:t>
      </w:r>
      <w:r w:rsidRPr="006A76FA">
        <w:rPr>
          <w:rFonts w:ascii="Cambria Math" w:eastAsia="宋体" w:hAnsi="Cambria Math" w:cs="Cambria Math"/>
          <w:color w:val="000000" w:themeColor="text1"/>
          <w:lang w:eastAsia="zh-CN"/>
        </w:rPr>
        <w:t>③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双技术各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5%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降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4.40%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；</w:t>
      </w:r>
      <w:r w:rsidRPr="006A76FA">
        <w:rPr>
          <w:rFonts w:ascii="Cambria Math" w:eastAsia="宋体" w:hAnsi="Cambria Math" w:cs="Cambria Math"/>
          <w:color w:val="000000" w:themeColor="text1"/>
          <w:lang w:eastAsia="zh-CN"/>
        </w:rPr>
        <w:t>④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熵权膝点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proofErr w:type="spellStart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w</w:t>
      </w:r>
      <w:r w:rsidRPr="00A71B35">
        <w:rPr>
          <w:rFonts w:ascii="Times New Roman" w:eastAsia="宋体" w:hAnsi="Times New Roman" w:cs="Times New Roman"/>
          <w:color w:val="000000" w:themeColor="text1"/>
          <w:vertAlign w:val="subscript"/>
          <w:lang w:eastAsia="zh-CN"/>
        </w:rPr>
        <w:t>C</w:t>
      </w:r>
      <w:proofErr w:type="spellEnd"/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=0.7183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、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能耗优先端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C=10.1276</w:t>
      </w:r>
      <w:r w:rsidRPr="006A76FA">
        <w:rPr>
          <w:rFonts w:ascii="Times New Roman" w:eastAsia="宋体" w:hAnsi="Times New Roman" w:cs="Times New Roman"/>
          <w:color w:val="000000" w:themeColor="text1"/>
          <w:lang w:eastAsia="zh-CN"/>
        </w:rPr>
        <w:t>。</w:t>
      </w:r>
      <w:bookmarkEnd w:id="0"/>
      <w:bookmarkEnd w:id="13"/>
    </w:p>
    <w:sectPr w:rsidR="00EF02C3" w:rsidRPr="006A76FA" w:rsidSect="006A76FA">
      <w:footerReference w:type="even" r:id="rId7"/>
      <w:footerReference w:type="default" r:id="rId8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2BAE2F" w14:textId="77777777" w:rsidR="00B17E8A" w:rsidRDefault="00B17E8A">
      <w:pPr>
        <w:spacing w:after="0"/>
      </w:pPr>
      <w:r>
        <w:separator/>
      </w:r>
    </w:p>
  </w:endnote>
  <w:endnote w:type="continuationSeparator" w:id="0">
    <w:p w14:paraId="67B303CF" w14:textId="77777777" w:rsidR="00B17E8A" w:rsidRDefault="00B17E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0"/>
      </w:rPr>
      <w:id w:val="-1502044247"/>
      <w:docPartObj>
        <w:docPartGallery w:val="Page Numbers (Bottom of Page)"/>
        <w:docPartUnique/>
      </w:docPartObj>
    </w:sdtPr>
    <w:sdtContent>
      <w:p w14:paraId="31DA3D06" w14:textId="3F203FCD" w:rsidR="006A76FA" w:rsidRDefault="006A76FA" w:rsidP="000723E0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7C646095" w14:textId="77777777" w:rsidR="006A76FA" w:rsidRDefault="006A76F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0"/>
      </w:rPr>
      <w:id w:val="1456373416"/>
      <w:docPartObj>
        <w:docPartGallery w:val="Page Numbers (Bottom of Page)"/>
        <w:docPartUnique/>
      </w:docPartObj>
    </w:sdtPr>
    <w:sdtContent>
      <w:p w14:paraId="0CABCE9E" w14:textId="2ACFB13B" w:rsidR="006A76FA" w:rsidRDefault="006A76FA" w:rsidP="000723E0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4E9D895F" w14:textId="77777777" w:rsidR="006A76FA" w:rsidRDefault="006A76F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17D2A2" w14:textId="77777777" w:rsidR="00B17E8A" w:rsidRDefault="00B17E8A">
      <w:r>
        <w:separator/>
      </w:r>
    </w:p>
  </w:footnote>
  <w:footnote w:type="continuationSeparator" w:id="0">
    <w:p w14:paraId="6C86A0F4" w14:textId="77777777" w:rsidR="00B17E8A" w:rsidRDefault="00B17E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A454B4C"/>
    <w:multiLevelType w:val="multilevel"/>
    <w:tmpl w:val="E5B611B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198EAD6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FF6674D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31426915">
    <w:abstractNumId w:val="1"/>
  </w:num>
  <w:num w:numId="2" w16cid:durableId="707217214">
    <w:abstractNumId w:val="0"/>
  </w:num>
  <w:num w:numId="3" w16cid:durableId="951032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95163563">
    <w:abstractNumId w:val="0"/>
  </w:num>
  <w:num w:numId="5" w16cid:durableId="726029936">
    <w:abstractNumId w:val="0"/>
  </w:num>
  <w:num w:numId="6" w16cid:durableId="1102260442">
    <w:abstractNumId w:val="0"/>
  </w:num>
  <w:num w:numId="7" w16cid:durableId="1288314117">
    <w:abstractNumId w:val="0"/>
  </w:num>
  <w:num w:numId="8" w16cid:durableId="1383284518">
    <w:abstractNumId w:val="0"/>
  </w:num>
  <w:num w:numId="9" w16cid:durableId="1992521307">
    <w:abstractNumId w:val="0"/>
  </w:num>
  <w:num w:numId="10" w16cid:durableId="1128087082">
    <w:abstractNumId w:val="0"/>
  </w:num>
  <w:num w:numId="11" w16cid:durableId="6589968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540EF"/>
    <w:rsid w:val="004E29B3"/>
    <w:rsid w:val="00590D07"/>
    <w:rsid w:val="006130B8"/>
    <w:rsid w:val="006A76FA"/>
    <w:rsid w:val="00784D58"/>
    <w:rsid w:val="008D31B1"/>
    <w:rsid w:val="008D6863"/>
    <w:rsid w:val="00A71B35"/>
    <w:rsid w:val="00B17E8A"/>
    <w:rsid w:val="00B86B75"/>
    <w:rsid w:val="00BC48D5"/>
    <w:rsid w:val="00C36279"/>
    <w:rsid w:val="00E315A3"/>
    <w:rsid w:val="00EF02C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4C391"/>
  <w15:docId w15:val="{FD783D82-301C-5241-B8D1-699D3311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footer"/>
    <w:basedOn w:val="a"/>
    <w:link w:val="af"/>
    <w:rsid w:val="006A76F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1"/>
    <w:link w:val="ae"/>
    <w:rsid w:val="006A76FA"/>
    <w:rPr>
      <w:sz w:val="18"/>
      <w:szCs w:val="18"/>
    </w:rPr>
  </w:style>
  <w:style w:type="character" w:styleId="af0">
    <w:name w:val="page number"/>
    <w:basedOn w:val="a1"/>
    <w:rsid w:val="006A7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840</Words>
  <Characters>4790</Characters>
  <Application>Microsoft Office Word</Application>
  <DocSecurity>0</DocSecurity>
  <Lines>39</Lines>
  <Paragraphs>11</Paragraphs>
  <ScaleCrop>false</ScaleCrop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曾万敏</cp:lastModifiedBy>
  <cp:revision>2</cp:revision>
  <dcterms:created xsi:type="dcterms:W3CDTF">2026-07-23T00:40:00Z</dcterms:created>
  <dcterms:modified xsi:type="dcterms:W3CDTF">2026-07-24T06:18:00Z</dcterms:modified>
</cp:coreProperties>
</file>