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XX大学</w:t>
      </w:r>
    </w:p>
    <w:p>
      <w:pPr>
        <w:jc w:val="center"/>
      </w:pPr>
      <w:r>
        <w:t>计算机科学与技术学院</w:t>
      </w:r>
    </w:p>
    <w:p/>
    <w:p>
      <w:pPr>
        <w:jc w:val="center"/>
      </w:pPr>
      <w:r>
        <w:t>基于结构化 Markdown 的本科论文编译系统设计</w:t>
      </w:r>
    </w:p>
    <w:p>
      <w:pPr>
        <w:jc w:val="center"/>
      </w:pPr>
      <w:r>
        <w:t>Design of a Bachelor Thesis Compiler Based on Structured Markdown</w:t>
      </w:r>
    </w:p>
    <w:p/>
    <w:p>
      <w:pPr>
        <w:jc w:val="center"/>
      </w:pPr>
      <w:r>
        <w:t>计算机科学与技术</w:t>
      </w:r>
    </w:p>
    <w:p>
      <w:pPr>
        <w:jc w:val="center"/>
      </w:pPr>
      <w:r>
        <w:t>工学学士</w:t>
      </w:r>
    </w:p>
    <w:p>
      <w:pPr>
        <w:jc w:val="center"/>
      </w:pPr>
      <w:r>
        <w:t>张三</w:t>
      </w:r>
    </w:p>
    <w:p>
      <w:pPr>
        <w:jc w:val="center"/>
      </w:pPr>
      <w:r>
        <w:t>2022000001</w:t>
      </w:r>
    </w:p>
    <w:p>
      <w:pPr>
        <w:jc w:val="center"/>
      </w:pPr>
      <w:r>
        <w:t>李老师</w:t>
      </w:r>
    </w:p>
    <w:p>
      <w:pPr>
        <w:jc w:val="center"/>
      </w:pPr>
      <w:r>
        <w:t>副教授</w:t>
      </w:r>
    </w:p>
    <w:p>
      <w:pPr>
        <w:jc w:val="center"/>
      </w:pPr>
      <w:r>
        <w:t>2026-06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bookmarkStart w:id="0" w:name="tf_chap_abstract_zh"/>
      <w:r>
        <w:t>摘要</w:t>
      </w:r>
      <w:bookmarkEnd w:id="0"/>
    </w:p>
    <w:p>
      <w:r>
        <w:t>本文设计并实现一种本地优先、确定性、模板驱动的本科论文编译器。系统将 Markdown 解析为与 Word 实现无关的论文领域模型，经结构化验证与统一编译后生成可编辑 DOCX。验收结果表明，该方案能够离线完成图表、公式、交叉引用、脚注和参考文献等学术对象的编译。</w:t>
      </w:r>
    </w:p>
    <w:p>
      <w:r>
        <w:t>关键词：Markdown；论文编译；OOXML；确定性构建</w:t>
      </w:r>
    </w:p>
    <w:p>
      <w:pPr>
        <w:pStyle w:val="Heading1"/>
      </w:pPr>
      <w:bookmarkStart w:id="1" w:name="tf_chap_abstract_en"/>
      <w:r>
        <w:t>Abstract</w:t>
      </w:r>
      <w:bookmarkEnd w:id="1"/>
    </w:p>
    <w:p>
      <w:r>
        <w:t>This thesis presents a local-first, deterministic and template-driven bachelor thesis compiler. Structured Markdown is parsed into a renderer-neutral domain model, validated, compiled and rendered as an editable DOCX document with academic objects and real Word fields.</w:t>
      </w:r>
    </w:p>
    <w:p>
      <w:r>
        <w:t>Keywords: Markdown; thesis compiler; OOXML; deterministic build</w:t>
      </w:r>
    </w:p>
    <w:p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t>目录</w:t>
      </w:r>
      <w:r>
        <w:fldChar w:fldCharType="end"/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</w:pPr>
      <w:bookmarkStart w:id="2" w:name="tf_chap_introduction"/>
      <w:r>
        <w:t>绪论</w:t>
      </w:r>
      <w:bookmarkEnd w:id="2"/>
    </w:p>
    <w:p>
      <w:pPr>
        <w:pStyle w:val="Heading2"/>
      </w:pPr>
      <w:bookmarkStart w:id="3" w:name="tf_sec_background"/>
      <w:r>
        <w:t>研究背景</w:t>
      </w:r>
      <w:bookmarkEnd w:id="3"/>
    </w:p>
    <w:p>
      <w:r>
        <w:t xml:space="preserve">传统 Word 排版要求作者反复调整标题、图表编号、公式和参考文献。结构化学术文档方法能够降低内容与版式的耦合 </w:t>
      </w:r>
      <w:r>
        <w:t>[1]</w:t>
      </w:r>
      <w:r>
        <w:t xml:space="preserve">，而确定性编译进一步提高了重复构建的可验证性 </w:t>
      </w:r>
      <w:r>
        <w:t>[2]</w:t>
      </w:r>
      <w:r>
        <w:t>。</w:t>
      </w:r>
      <w:r>
        <w:rPr>
          <w:rStyle w:val="FootnoteReference"/>
        </w:rPr>
        <w:footnoteReference w:id="1"/>
      </w:r>
    </w:p>
    <w:p>
      <w:pPr>
        <w:pStyle w:val="Heading2"/>
      </w:pPr>
      <w:bookmarkStart w:id="4" w:name="tf_sec_scope"/>
      <w:r>
        <w:t>研究内容</w:t>
      </w:r>
      <w:bookmarkEnd w:id="4"/>
    </w:p>
    <w:p>
      <w:r>
        <w:t>本文围绕以下内容展开：</w:t>
      </w:r>
    </w:p>
    <w:p>
      <w:pPr>
        <w:numPr>
          <w:ilvl w:val="0"/>
          <w:numId w:val="10"/>
        </w:numPr>
      </w:pPr>
      <w:r>
        <w:t>定义可验证的结构化 Markdown 输入；</w:t>
      </w:r>
    </w:p>
    <w:p>
      <w:pPr>
        <w:numPr>
          <w:ilvl w:val="0"/>
          <w:numId w:val="10"/>
        </w:numPr>
      </w:pPr>
      <w:r>
        <w:t>建立与 Word 无关的论文领域模型；</w:t>
      </w:r>
    </w:p>
    <w:p>
      <w:pPr>
        <w:numPr>
          <w:ilvl w:val="0"/>
          <w:numId w:val="10"/>
        </w:numPr>
      </w:pPr>
      <w:r>
        <w:t>通过模板解析学校版式；</w:t>
      </w:r>
    </w:p>
    <w:p>
      <w:pPr>
        <w:numPr>
          <w:ilvl w:val="0"/>
          <w:numId w:val="10"/>
        </w:numPr>
      </w:pPr>
      <w:r>
        <w:t>生成包含真实 OOXML 对象的 DOCX。</w:t>
      </w:r>
    </w:p>
    <w:p>
      <w:pPr>
        <w:pStyle w:val="Heading2"/>
      </w:pPr>
      <w:bookmarkStart w:id="5" w:name="tf_sec_technical_route"/>
      <w:r>
        <w:t>技术路线</w:t>
      </w:r>
      <w:bookmarkEnd w:id="5"/>
    </w:p>
    <w:p>
      <w:r>
        <w:t xml:space="preserve">系统总体架构如 </w:t>
      </w:r>
      <w:r>
        <w:fldChar w:fldCharType="begin" w:dirty="true"/>
      </w:r>
      <w:r>
        <w:instrText xml:space="preserve">REF tf_fig_architecture \h</w:instrText>
      </w:r>
      <w:r>
        <w:fldChar w:fldCharType="separate"/>
      </w:r>
      <w:r>
        <w:t>图1-1</w:t>
      </w:r>
      <w:r>
        <w:fldChar w:fldCharType="end"/>
      </w:r>
      <w:r>
        <w:t xml:space="preserve"> 所示。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43323" cy="2371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323" cy="237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bookmarkStart w:id="6" w:name="tf_fig_architecture"/>
      <w:r>
        <w:rPr>
          <w:rFonts w:ascii="Times New Roman" w:hAnsi="Times New Roman" w:eastAsia="宋体"/>
          <w:sz w:val="24"/>
        </w:rPr>
        <w:t>图1-</w:t>
      </w:r>
      <w:r>
        <w:rPr>
          <w:rFonts w:ascii="Times New Roman" w:hAnsi="Times New Roman" w:eastAsia="宋体"/>
          <w:sz w:val="24"/>
        </w:rPr>
        <w:fldChar w:fldCharType="begin" w:dirty="true"/>
      </w:r>
      <w:r>
        <w:rPr>
          <w:rFonts w:ascii="Times New Roman" w:hAnsi="Times New Roman" w:eastAsia="宋体"/>
          <w:sz w:val="24"/>
        </w:rPr>
        <w:instrText xml:space="preserve">SEQ TF_Figure_1 \r 1 \* ARABIC</w:instrText>
      </w:r>
      <w:r>
        <w:rPr>
          <w:rFonts w:ascii="Times New Roman" w:hAnsi="Times New Roman" w:eastAsia="宋体"/>
          <w:sz w:val="24"/>
        </w:rPr>
        <w:fldChar w:fldCharType="separate"/>
      </w:r>
      <w:r>
        <w:rPr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  <w:sz w:val="24"/>
        </w:rPr>
        <w:fldChar w:fldCharType="end"/>
      </w:r>
      <w:bookmarkEnd w:id="6"/>
      <w:r>
        <w:rPr>
          <w:rFonts w:ascii="Times New Roman" w:hAnsi="Times New Roman" w:eastAsia="宋体"/>
          <w:sz w:val="24"/>
        </w:rPr>
        <w:t xml:space="preserve"> ThesisForge 确定性编译架构</w:t>
      </w:r>
    </w:p>
    <w:p>
      <w:pPr>
        <w:pStyle w:val="Heading1"/>
      </w:pPr>
      <w:bookmarkStart w:id="7" w:name="tf_chap_design"/>
      <w:r>
        <w:t>系统设计</w:t>
      </w:r>
      <w:bookmarkEnd w:id="7"/>
    </w:p>
    <w:p>
      <w:pPr>
        <w:pStyle w:val="Heading2"/>
      </w:pPr>
      <w:bookmarkStart w:id="8" w:name="tf_sec_pipeline"/>
      <w:r>
        <w:t>编译流水线</w:t>
      </w:r>
      <w:bookmarkEnd w:id="8"/>
    </w:p>
    <w:p>
      <w:r>
        <w:t xml:space="preserve">系统采用 Markdown -&gt; ThesisDocument -&gt; Validation -&gt; Template -&gt; RenderPlan -&gt; DOCX 的单向编译链路，其抽象关系见 </w:t>
      </w:r>
      <w:r>
        <w:fldChar w:fldCharType="begin" w:dirty="true"/>
      </w:r>
      <w:r>
        <w:instrText xml:space="preserve">REF tf_eq_pipeline \h</w:instrText>
      </w:r>
      <w:r>
        <w:fldChar w:fldCharType="separate"/>
      </w:r>
      <w:r>
        <w:t>(2-1)</w:t>
      </w:r>
      <w:r>
        <w:fldChar w:fldCharType="end"/>
      </w:r>
      <w:r>
        <w:t>。</w:t>
      </w:r>
    </w:p>
    <w:p>
      <w:pPr>
        <w:jc w:val="center"/>
      </w:pPr>
      <m:oMath>
        <m:sSub>
          <m:e>
            <m:r>
              <m:t>D</m:t>
            </m:r>
          </m:e>
          <m:sub>
            <m:r>
              <m:t>d</m:t>
            </m:r>
            <m:r>
              <m:t>o</m:t>
            </m:r>
            <m:r>
              <m:t>c</m:t>
            </m:r>
            <m:r>
              <m:t>x</m:t>
            </m:r>
          </m:sub>
        </m:sSub>
        <m:r>
          <m:t>=</m:t>
        </m:r>
        <m:r>
          <m:t>R</m:t>
        </m:r>
        <m:r>
          <m:t>(</m:t>
        </m:r>
        <m:r>
          <m:t>C</m:t>
        </m:r>
        <m:r>
          <m:t>(</m:t>
        </m:r>
        <m:r>
          <m:t>V</m:t>
        </m:r>
        <m:r>
          <m:t>(</m:t>
        </m:r>
        <m:r>
          <m:t>P</m:t>
        </m:r>
        <m:r>
          <m:t>(</m:t>
        </m:r>
        <m:sSub>
          <m:e>
            <m:r>
              <m:t>D</m:t>
            </m:r>
          </m:e>
          <m:sub>
            <m:r>
              <m:t>m</m:t>
            </m:r>
            <m:r>
              <m:t>d</m:t>
            </m:r>
          </m:sub>
        </m:sSub>
        <m:r>
          <m:t>)</m:t>
        </m:r>
        <m:r>
          <m:t>)</m:t>
        </m:r>
        <m:r>
          <m:t>)</m:t>
        </m:r>
        <m:r>
          <m:t>)</m:t>
        </m:r>
      </m:oMath>
      <w:r>
        <w:tab/>
      </w:r>
      <w:bookmarkStart w:id="9" w:name="tf_eq_pipeline"/>
      <w:r>
        <w:t>(2-</w:t>
      </w:r>
      <w:r>
        <w:fldChar w:fldCharType="begin" w:dirty="true"/>
      </w:r>
      <w:r>
        <w:instrText xml:space="preserve">SEQ TF_Equation_2 \r 1 \* ARABIC</w:instrText>
      </w:r>
      <w:r>
        <w:fldChar w:fldCharType="separate"/>
      </w:r>
      <w:r>
        <w:t>1</w:t>
      </w:r>
      <w:r>
        <w:fldChar w:fldCharType="end"/>
      </w:r>
      <w:r>
        <w:t>)</w:t>
      </w:r>
      <w:bookmarkEnd w:id="9"/>
    </w:p>
    <w:p>
      <w:pPr>
        <w:pStyle w:val="Heading2"/>
      </w:pPr>
      <w:bookmarkStart w:id="10" w:name="tf_sec_capabilities"/>
      <w:r>
        <w:t>能力模型</w:t>
      </w:r>
      <w:bookmarkEnd w:id="10"/>
    </w:p>
    <w:p>
      <w:r>
        <w:t xml:space="preserve">V1 核心能力见 </w:t>
      </w:r>
      <w:r>
        <w:fldChar w:fldCharType="begin" w:dirty="true"/>
      </w:r>
      <w:r>
        <w:instrText xml:space="preserve">REF tf_tbl_capabilities \h</w:instrText>
      </w:r>
      <w:r>
        <w:fldChar w:fldCharType="separate"/>
      </w:r>
      <w:r>
        <w:t>表2-1</w:t>
      </w:r>
      <w:r>
        <w:fldChar w:fldCharType="end"/>
      </w:r>
      <w:r>
        <w:t>。</w:t>
      </w:r>
    </w:p>
    <w:p>
      <w:pPr>
        <w:jc w:val="center"/>
      </w:pPr>
      <w:bookmarkStart w:id="11" w:name="tf_tbl_capabilities"/>
      <w:r>
        <w:rPr>
          <w:rFonts w:ascii="Times New Roman" w:hAnsi="Times New Roman" w:eastAsia="宋体"/>
          <w:sz w:val="24"/>
        </w:rPr>
        <w:t>表2-</w:t>
      </w:r>
      <w:r>
        <w:rPr>
          <w:rFonts w:ascii="Times New Roman" w:hAnsi="Times New Roman" w:eastAsia="宋体"/>
          <w:sz w:val="24"/>
        </w:rPr>
        <w:fldChar w:fldCharType="begin" w:dirty="true"/>
      </w:r>
      <w:r>
        <w:rPr>
          <w:rFonts w:ascii="Times New Roman" w:hAnsi="Times New Roman" w:eastAsia="宋体"/>
          <w:sz w:val="24"/>
        </w:rPr>
        <w:instrText xml:space="preserve">SEQ TF_Table_2 \r 1 \* ARABIC</w:instrText>
      </w:r>
      <w:r>
        <w:rPr>
          <w:rFonts w:ascii="Times New Roman" w:hAnsi="Times New Roman" w:eastAsia="宋体"/>
          <w:sz w:val="24"/>
        </w:rPr>
        <w:fldChar w:fldCharType="separate"/>
      </w:r>
      <w:r>
        <w:rPr>
          <w:rFonts w:ascii="Times New Roman" w:hAnsi="Times New Roman" w:eastAsia="宋体"/>
          <w:sz w:val="24"/>
        </w:rPr>
        <w:t>1</w:t>
      </w:r>
      <w:r>
        <w:rPr>
          <w:rFonts w:ascii="Times New Roman" w:hAnsi="Times New Roman" w:eastAsia="宋体"/>
          <w:sz w:val="24"/>
        </w:rPr>
        <w:fldChar w:fldCharType="end"/>
      </w:r>
      <w:bookmarkEnd w:id="11"/>
      <w:r>
        <w:rPr>
          <w:rFonts w:ascii="Times New Roman" w:hAnsi="Times New Roman" w:eastAsia="宋体"/>
          <w:sz w:val="24"/>
        </w:rPr>
        <w:t xml:space="preserve"> ThesisForge V1 核心能力</w:t>
      </w:r>
    </w:p>
    <w:tbl>
      <w:tblPr>
        <w:tblW w:type="auto" w:w="0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auto"/>
          <w:bottom w:val="single" w:sz="8" w:space="0" w:color="auto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tcBorders>
              <w:bottom w:val="single" w:sz="8" w:space="0" w:color="auto"/>
            </w:tcBorders>
          </w:tcPr>
          <w:p>
            <w:r>
              <w:t>能力</w:t>
            </w:r>
          </w:p>
        </w:tc>
        <w:tc>
          <w:tcPr>
            <w:tcW w:type="dxa" w:w="2929"/>
            <w:tcBorders>
              <w:bottom w:val="single" w:sz="8" w:space="0" w:color="auto"/>
            </w:tcBorders>
          </w:tcPr>
          <w:p>
            <w:r>
              <w:t>输入</w:t>
            </w:r>
          </w:p>
        </w:tc>
        <w:tc>
          <w:tcPr>
            <w:tcW w:type="dxa" w:w="2929"/>
            <w:tcBorders>
              <w:bottom w:val="single" w:sz="8" w:space="0" w:color="auto"/>
            </w:tcBorders>
          </w:tcPr>
          <w:p>
            <w:r>
              <w:t>DOCX 输出</w:t>
            </w:r>
          </w:p>
        </w:tc>
      </w:tr>
      <w:tr>
        <w:tc>
          <w:tcPr>
            <w:tcW w:type="dxa" w:w="2929"/>
          </w:tcPr>
          <w:p>
            <w:r>
              <w:t>图</w:t>
            </w:r>
          </w:p>
        </w:tc>
        <w:tc>
          <w:tcPr>
            <w:tcW w:type="dxa" w:w="2929"/>
          </w:tcPr>
          <w:p>
            <w:r>
              <w:t>本地图片</w:t>
            </w:r>
          </w:p>
        </w:tc>
        <w:tc>
          <w:tcPr>
            <w:tcW w:type="dxa" w:w="2929"/>
          </w:tcPr>
          <w:p>
            <w:r>
              <w:t>Drawing 与题注</w:t>
            </w:r>
          </w:p>
        </w:tc>
      </w:tr>
      <w:tr>
        <w:tc>
          <w:tcPr>
            <w:tcW w:type="dxa" w:w="2929"/>
          </w:tcPr>
          <w:p>
            <w:r>
              <w:t>表</w:t>
            </w:r>
          </w:p>
        </w:tc>
        <w:tc>
          <w:tcPr>
            <w:tcW w:type="dxa" w:w="2929"/>
          </w:tcPr>
          <w:p>
            <w:r>
              <w:t>Markdown 表格</w:t>
            </w:r>
          </w:p>
        </w:tc>
        <w:tc>
          <w:tcPr>
            <w:tcW w:type="dxa" w:w="2929"/>
          </w:tcPr>
          <w:p>
            <w:r>
              <w:t>三线表</w:t>
            </w:r>
          </w:p>
        </w:tc>
      </w:tr>
      <w:tr>
        <w:tc>
          <w:tcPr>
            <w:tcW w:type="dxa" w:w="2929"/>
          </w:tcPr>
          <w:p>
            <w:r>
              <w:t>公式</w:t>
            </w:r>
          </w:p>
        </w:tc>
        <w:tc>
          <w:tcPr>
            <w:tcW w:type="dxa" w:w="2929"/>
          </w:tcPr>
          <w:p>
            <w:r>
              <w:t>LaTeX 子集</w:t>
            </w:r>
          </w:p>
        </w:tc>
        <w:tc>
          <w:tcPr>
            <w:tcW w:type="dxa" w:w="2929"/>
          </w:tcPr>
          <w:p>
            <w:r>
              <w:t>OMML</w:t>
            </w:r>
          </w:p>
        </w:tc>
      </w:tr>
      <w:tr>
        <w:tc>
          <w:tcPr>
            <w:tcW w:type="dxa" w:w="2929"/>
          </w:tcPr>
          <w:p>
            <w:r>
              <w:t>引用</w:t>
            </w:r>
          </w:p>
        </w:tc>
        <w:tc>
          <w:tcPr>
            <w:tcW w:type="dxa" w:w="2929"/>
          </w:tcPr>
          <w:p>
            <w:r>
              <w:t>BibTeX key</w:t>
            </w:r>
          </w:p>
        </w:tc>
        <w:tc>
          <w:tcPr>
            <w:tcW w:type="dxa" w:w="2929"/>
          </w:tcPr>
          <w:p>
            <w:r>
              <w:t>顺序编码引用</w:t>
            </w:r>
          </w:p>
        </w:tc>
      </w:tr>
    </w:tbl>
    <w:p>
      <w:pPr>
        <w:pStyle w:val="Heading2"/>
      </w:pPr>
      <w:bookmarkStart w:id="12" w:name="tf_sec_safe_build"/>
      <w:r>
        <w:t>安全构建算法</w:t>
      </w:r>
      <w:bookmarkEnd w:id="12"/>
    </w:p>
    <w:p>
      <w:r>
        <w:t xml:space="preserve">安全构建流程见 </w:t>
      </w:r>
      <w:r>
        <w:fldChar w:fldCharType="begin" w:dirty="true"/>
      </w:r>
      <w:r>
        <w:instrText xml:space="preserve">REF tf_alg_build \h</w:instrText>
      </w:r>
      <w:r>
        <w:fldChar w:fldCharType="separate"/>
      </w:r>
      <w:r>
        <w:t>安全构建流程</w:t>
      </w:r>
      <w:r>
        <w:fldChar w:fldCharType="end"/>
      </w:r>
      <w:r>
        <w:t>。</w:t>
      </w:r>
    </w:p>
    <w:p>
      <w:bookmarkStart w:id="13" w:name="tf_alg_build"/>
      <w:r>
        <w:t>安全构建流程</w:t>
      </w:r>
      <w:bookmarkEnd w:id="13"/>
    </w:p>
    <w:p>
      <w:pPr>
        <w:spacing w:line="240" w:lineRule="auto"/>
        <w:jc w:val="left"/>
      </w:pPr>
      <w:r>
        <w:t>1. 解析并验证本地输入；</w:t>
        <w:br/>
        <w:t>2. 编译 renderer-neutral RenderPlan；</w:t>
        <w:br/>
        <w:t>3. 渲染到目标目录临时文件；</w:t>
        <w:br/>
        <w:t>4. 校验 DOCX ZIP 与核心 XML；</w:t>
        <w:br/>
        <w:t>5. 原子替换最终输出。</w:t>
      </w:r>
    </w:p>
    <w:p>
      <w:pPr>
        <w:pStyle w:val="Heading2"/>
      </w:pPr>
      <w:bookmarkStart w:id="14" w:name="tf_sec_application_service"/>
      <w:r>
        <w:t>应用服务接口</w:t>
      </w:r>
      <w:bookmarkEnd w:id="14"/>
    </w:p>
    <w:p>
      <w:r>
        <w:t xml:space="preserve">核心服务接口示意见 </w:t>
      </w:r>
      <w:r>
        <w:fldChar w:fldCharType="begin" w:dirty="true"/>
      </w:r>
      <w:r>
        <w:instrText xml:space="preserve">REF tf_lst_service \h</w:instrText>
      </w:r>
      <w:r>
        <w:fldChar w:fldCharType="separate"/>
      </w:r>
      <w:r>
        <w:t>安全构建服务调用</w:t>
      </w:r>
      <w:r>
        <w:fldChar w:fldCharType="end"/>
      </w:r>
      <w:r>
        <w:t>。</w:t>
      </w:r>
    </w:p>
    <w:p>
      <w:bookmarkStart w:id="15" w:name="tf_lst_service"/>
      <w:r>
        <w:t>安全构建服务调用</w:t>
      </w:r>
      <w:bookmarkEnd w:id="15"/>
    </w:p>
    <w:p>
      <w:pPr>
        <w:spacing w:line="240" w:lineRule="auto"/>
        <w:jc w:val="left"/>
      </w:pPr>
      <w:r>
        <w:t>result = build_service(</w:t>
        <w:br/>
        <w:t xml:space="preserve">    source="thesis.md",</w:t>
        <w:br/>
        <w:t xml:space="preserve">    output="thesis.docx",</w:t>
        <w:br/>
        <w:t>)</w:t>
      </w:r>
    </w:p>
    <w:p>
      <w:pPr>
        <w:pStyle w:val="Heading1"/>
      </w:pPr>
      <w:bookmarkStart w:id="16" w:name="tf_chap_results"/>
      <w:r>
        <w:t>实验结果与分析</w:t>
      </w:r>
      <w:bookmarkEnd w:id="16"/>
    </w:p>
    <w:p>
      <w:pPr>
        <w:pStyle w:val="Heading2"/>
      </w:pPr>
      <w:bookmarkStart w:id="17" w:name="tf_sec_offline_acceptance"/>
      <w:r>
        <w:t>离线验收</w:t>
      </w:r>
      <w:bookmarkEnd w:id="17"/>
    </w:p>
    <w:p>
      <w:r>
        <w:t>在禁用网络连接并移除 AI 服务凭据后，inspect、validate 与 build 均只读取本地 Markdown、YAML、BibTeX 和图片资源。重复构建生成的 ZIP 元数据可以不同，但编号、书签、字段和章节结构保持语义等价。</w:t>
      </w:r>
    </w:p>
    <w:p>
      <w:pPr>
        <w:pStyle w:val="Heading2"/>
      </w:pPr>
      <w:bookmarkStart w:id="18" w:name="tf_sec_word_acceptance"/>
      <w:r>
        <w:t>Word 对象验收</w:t>
      </w:r>
      <w:bookmarkEnd w:id="18"/>
    </w:p>
    <w:p>
      <w:r>
        <w:t xml:space="preserve">验收包包含真实目录字段、图表与公式编号字段、交叉引用字段、页码字段、OMML、脚注、页眉页脚及多个节。图 </w:t>
      </w:r>
      <w:r>
        <w:fldChar w:fldCharType="begin" w:dirty="true"/>
      </w:r>
      <w:r>
        <w:instrText xml:space="preserve">REF tf_fig_architecture \h</w:instrText>
      </w:r>
      <w:r>
        <w:fldChar w:fldCharType="separate"/>
      </w:r>
      <w:r>
        <w:t>图1-1</w:t>
      </w:r>
      <w:r>
        <w:fldChar w:fldCharType="end"/>
      </w:r>
      <w:r>
        <w:t xml:space="preserve">、表 </w:t>
      </w:r>
      <w:r>
        <w:fldChar w:fldCharType="begin" w:dirty="true"/>
      </w:r>
      <w:r>
        <w:instrText xml:space="preserve">REF tf_tbl_capabilities \h</w:instrText>
      </w:r>
      <w:r>
        <w:fldChar w:fldCharType="separate"/>
      </w:r>
      <w:r>
        <w:t>表2-1</w:t>
      </w:r>
      <w:r>
        <w:fldChar w:fldCharType="end"/>
      </w:r>
      <w:r>
        <w:t xml:space="preserve"> 和式 </w:t>
      </w:r>
      <w:r>
        <w:fldChar w:fldCharType="begin" w:dirty="true"/>
      </w:r>
      <w:r>
        <w:instrText xml:space="preserve">REF tf_eq_pipeline \h</w:instrText>
      </w:r>
      <w:r>
        <w:fldChar w:fldCharType="separate"/>
      </w:r>
      <w:r>
        <w:t>(2-1)</w:t>
      </w:r>
      <w:r>
        <w:fldChar w:fldCharType="end"/>
      </w:r>
      <w:r>
        <w:t xml:space="preserve"> 均可在 Word 客户端中继续编辑。</w:t>
      </w:r>
    </w:p>
    <w:p>
      <w:pPr>
        <w:pStyle w:val="Heading1"/>
      </w:pPr>
      <w:bookmarkStart w:id="19" w:name="tf_chap_conclusion"/>
      <w:r>
        <w:t>结论与展望</w:t>
      </w:r>
      <w:bookmarkEnd w:id="19"/>
    </w:p>
    <w:p>
      <w:r>
        <w:t>本文完成了 ThesisForge V1 核心编译链和端到端验收。系统在不依赖网络或 AI 服务的条件下生成可编辑 DOCX，并以结构化测试验证关键 OOXML 对象。</w:t>
      </w:r>
    </w:p>
    <w:p>
      <w:pPr>
        <w:pStyle w:val="Heading1"/>
      </w:pPr>
      <w:bookmarkStart w:id="20" w:name="tf_chap_references"/>
      <w:r>
        <w:t>参考文献</w:t>
      </w:r>
      <w:bookmarkEnd w:id="20"/>
    </w:p>
    <w:p>
      <w:r>
        <w:t>[1] ZHANG S, LI S. Structured Academic Document Compilation[J]. Journal of Document Engineering, 2025, 10(2): 100-120. DOI:10.0000/example.2025.001.</w:t>
      </w:r>
    </w:p>
    <w:p>
      <w:r>
        <w:t>[2] SMITH J. Deterministic Thesis Compilation[M]. Beijing: Example University Press, 2024.</w:t>
      </w:r>
    </w:p>
    <w:p>
      <w:pPr>
        <w:pStyle w:val="Heading1"/>
      </w:pPr>
      <w:bookmarkStart w:id="21" w:name="tf_chap_acknowledgements"/>
      <w:r>
        <w:t>致谢</w:t>
      </w:r>
      <w:bookmarkEnd w:id="21"/>
    </w:p>
    <w:p>
      <w:r>
        <w:t>感谢指导教师和同学在系统设计、文档验证与兼容性测试过程中提供的帮助。</w:t>
      </w:r>
    </w:p>
    <w:p>
      <w:pPr>
        <w:pStyle w:val="Heading1"/>
      </w:pPr>
      <w:bookmarkStart w:id="22" w:name="tf_chap_appendix_a"/>
      <w:r>
        <w:t>附录 A 验收命令</w:t>
      </w:r>
      <w:bookmarkEnd w:id="22"/>
    </w:p>
    <w:p>
      <w:r>
        <w:t>本附录记录完整样例使用的离线命令：</w:t>
      </w:r>
    </w:p>
    <w:p>
      <w:pPr>
        <w:numPr>
          <w:ilvl w:val="0"/>
          <w:numId w:val="11"/>
        </w:numPr>
      </w:pPr>
      <w:r>
        <w:t>thesisforge inspect thesis.md</w:t>
      </w:r>
    </w:p>
    <w:p>
      <w:pPr>
        <w:numPr>
          <w:ilvl w:val="0"/>
          <w:numId w:val="11"/>
        </w:numPr>
      </w:pPr>
      <w:r>
        <w:t>thesisforge validate thesis.md</w:t>
      </w:r>
    </w:p>
    <w:p>
      <w:pPr>
        <w:numPr>
          <w:ilvl w:val="0"/>
          <w:numId w:val="11"/>
        </w:numPr>
      </w:pPr>
      <w:r>
        <w:t>thesisforge build thesis.md -o thesis.docx</w:t>
      </w:r>
    </w:p>
    <w:p>
      <w:r>
        <w:t>&lt;!-- windows native acceptance --&gt;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</w:t>
    </w:r>
    <w:r>
      <w:t xml:space="preserve"> / </w:t>
    </w:r>
    <w:r>
      <w:t xml:space="preserve">共 </w:t>
    </w:r>
    <w:r>
      <w:fldChar w:fldCharType="begin" w:dirty="true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</w:t>
    </w:r>
    <w:r>
      <w:t xml:space="preserve"> / </w:t>
    </w:r>
    <w:r>
      <w:t xml:space="preserve">共 </w:t>
    </w:r>
    <w:r>
      <w:fldChar w:fldCharType="begin" w:dirty="true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 xml:space="preserve"> </w:t>
      </w:r>
      <w:r>
        <w:t>确定性构建指相同输入、模板和依赖版本产生语义等价的编号、引用、字段和章节结构。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XX大学本科毕业论文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